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5" w:rsidRDefault="00987C63" w:rsidP="00092CCA">
      <w:pPr>
        <w:jc w:val="center"/>
        <w:rPr>
          <w:b/>
          <w:sz w:val="28"/>
          <w:szCs w:val="28"/>
        </w:rPr>
      </w:pPr>
      <w:r w:rsidRPr="00092CCA">
        <w:rPr>
          <w:b/>
          <w:sz w:val="28"/>
          <w:szCs w:val="28"/>
        </w:rPr>
        <w:t xml:space="preserve">Informacjo o wymaganych dodatkowych dokumentach potwierdzających spełnianie kryteriów wyboru dla operacji w ramach </w:t>
      </w:r>
      <w:r w:rsidR="003E16F7">
        <w:rPr>
          <w:b/>
          <w:sz w:val="28"/>
          <w:szCs w:val="28"/>
        </w:rPr>
        <w:t>rozwijania</w:t>
      </w:r>
      <w:r w:rsidRPr="00092CCA">
        <w:rPr>
          <w:b/>
          <w:sz w:val="28"/>
          <w:szCs w:val="28"/>
        </w:rPr>
        <w:t xml:space="preserve"> działalności gospodarczej</w:t>
      </w:r>
    </w:p>
    <w:p w:rsidR="0096201B" w:rsidRDefault="0096201B" w:rsidP="0096201B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Załącznik dodatkowy LGD SD nr 2</w:t>
      </w:r>
    </w:p>
    <w:p w:rsidR="0096201B" w:rsidRDefault="0096201B" w:rsidP="00092CCA">
      <w:pPr>
        <w:jc w:val="center"/>
        <w:rPr>
          <w:b/>
          <w:sz w:val="28"/>
          <w:szCs w:val="28"/>
        </w:rPr>
      </w:pPr>
    </w:p>
    <w:p w:rsidR="0066699E" w:rsidRPr="0066699E" w:rsidRDefault="0066699E" w:rsidP="00092CCA">
      <w:pPr>
        <w:jc w:val="center"/>
        <w:rPr>
          <w:b/>
          <w:color w:val="00B050"/>
          <w:sz w:val="28"/>
          <w:szCs w:val="28"/>
        </w:rPr>
      </w:pPr>
      <w:r w:rsidRPr="0066699E">
        <w:rPr>
          <w:b/>
          <w:color w:val="00B050"/>
          <w:sz w:val="28"/>
          <w:szCs w:val="28"/>
        </w:rPr>
        <w:t xml:space="preserve">Załączenie dokumentów jest wymagane w celu weryfikacji spełniania przez Wnioskodawcę kryteriów (jeżeli dotyczy). </w:t>
      </w:r>
    </w:p>
    <w:p w:rsidR="0066699E" w:rsidRPr="0066699E" w:rsidRDefault="0066699E" w:rsidP="00092CCA">
      <w:pPr>
        <w:jc w:val="center"/>
        <w:rPr>
          <w:b/>
          <w:color w:val="00B050"/>
          <w:sz w:val="28"/>
          <w:szCs w:val="28"/>
        </w:rPr>
      </w:pPr>
      <w:r w:rsidRPr="0066699E">
        <w:rPr>
          <w:b/>
          <w:color w:val="00B050"/>
          <w:sz w:val="28"/>
          <w:szCs w:val="28"/>
        </w:rPr>
        <w:t xml:space="preserve">Ich brak skutkował będzie nie uzyskaniem punktów za poszczególne kryteria </w:t>
      </w:r>
    </w:p>
    <w:tbl>
      <w:tblPr>
        <w:tblStyle w:val="Tabela-Siatka"/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3"/>
        <w:gridCol w:w="3543"/>
        <w:gridCol w:w="3402"/>
      </w:tblGrid>
      <w:tr w:rsidR="00690EF5" w:rsidTr="00476F1B">
        <w:trPr>
          <w:trHeight w:val="27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Default="00690EF5" w:rsidP="00476F1B">
            <w:pPr>
              <w:jc w:val="center"/>
              <w:rPr>
                <w:b/>
              </w:rPr>
            </w:pPr>
            <w:r w:rsidRPr="003575CC">
              <w:rPr>
                <w:b/>
              </w:rPr>
              <w:t>Kryterium</w:t>
            </w:r>
          </w:p>
          <w:p w:rsidR="00690EF5" w:rsidRPr="003575CC" w:rsidRDefault="00690EF5" w:rsidP="00476F1B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690EF5" w:rsidRDefault="00690EF5" w:rsidP="00476F1B">
            <w:pPr>
              <w:jc w:val="center"/>
              <w:rPr>
                <w:b/>
              </w:rPr>
            </w:pPr>
            <w:r w:rsidRPr="00690EF5">
              <w:rPr>
                <w:b/>
              </w:rPr>
              <w:t>Opis kryterium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0EF5" w:rsidRPr="00690EF5" w:rsidRDefault="00690EF5" w:rsidP="00476F1B">
            <w:pPr>
              <w:jc w:val="center"/>
              <w:rPr>
                <w:b/>
              </w:rPr>
            </w:pPr>
            <w:r w:rsidRPr="00690EF5">
              <w:rPr>
                <w:b/>
              </w:rPr>
              <w:t>Dokumenty potwierdzające spełnianie kryterium</w:t>
            </w:r>
          </w:p>
        </w:tc>
      </w:tr>
      <w:tr w:rsidR="00690EF5" w:rsidRPr="000344F5" w:rsidTr="00476F1B">
        <w:trPr>
          <w:trHeight w:val="1648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0344F5" w:rsidRDefault="00690EF5" w:rsidP="00476F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4F5">
              <w:rPr>
                <w:lang w:eastAsia="en-US"/>
              </w:rPr>
              <w:t>Operacja przyczynia się do poprawy ochrony środowiska – 1 pkt.</w:t>
            </w:r>
          </w:p>
          <w:p w:rsidR="00690EF5" w:rsidRPr="000344F5" w:rsidRDefault="00690EF5" w:rsidP="00476F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4F5">
              <w:rPr>
                <w:lang w:eastAsia="en-US"/>
              </w:rPr>
              <w:t>Operacja nie  przyczynia się do poprawy ochrony środowiska –  0 pkt.</w:t>
            </w:r>
          </w:p>
          <w:p w:rsidR="00690EF5" w:rsidRPr="000344F5" w:rsidRDefault="00690EF5" w:rsidP="00476F1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44F5">
              <w:rPr>
                <w:lang w:eastAsia="en-US"/>
              </w:rPr>
              <w:t xml:space="preserve">(min. 5% wartości operacji przeznaczone zostanie na działania </w:t>
            </w:r>
            <w:r w:rsidRPr="000344F5">
              <w:rPr>
                <w:lang w:eastAsia="en-US"/>
              </w:rPr>
              <w:br/>
              <w:t>w zakresie ochrony środowiska)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0344F5" w:rsidRDefault="00690EF5" w:rsidP="00476F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Kryterium preferuje operacje, które uwzględniają aspekt ekologiczny: inwestycyjny, a zastosowane </w:t>
            </w:r>
            <w:r w:rsidR="00476F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03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projekcie rozwiązanie sprzyjają ochronie środowiska lub klimatu.</w:t>
            </w:r>
          </w:p>
          <w:p w:rsidR="00690EF5" w:rsidRPr="000344F5" w:rsidRDefault="00690EF5" w:rsidP="00476F1B">
            <w:pPr>
              <w:jc w:val="center"/>
            </w:pPr>
            <w:r w:rsidRPr="000344F5">
              <w:t xml:space="preserve">Aspekt ekologiczny rozumiany jest poprzez realizację zadań pozytywnie wpływających na środowisko, np. budowa obiektów pozytywnie wpływających na środowisko lub zakup urządzeń </w:t>
            </w:r>
            <w:r w:rsidR="00476F1B">
              <w:br/>
            </w:r>
            <w:r w:rsidRPr="000344F5">
              <w:t>i sprzętu służących ochronie środowiska lub korzystnie oddziaływujących na środowisko – kryterium spełnione, jeżeli min. 5% wartości operacji przeznaczone zostanie na ten cel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344F5" w:rsidRPr="000344F5" w:rsidRDefault="000344F5" w:rsidP="00476F1B">
            <w:pPr>
              <w:jc w:val="center"/>
            </w:pPr>
            <w:r w:rsidRPr="000344F5">
              <w:rPr>
                <w:b/>
              </w:rPr>
              <w:t>Oświadczenie Wnioskodawcy,</w:t>
            </w:r>
            <w:r w:rsidRPr="000344F5">
              <w:t xml:space="preserve"> wskazujące, które pozycje wykazane w</w:t>
            </w:r>
            <w:r w:rsidR="00476F1B">
              <w:t xml:space="preserve">e Wniosku </w:t>
            </w:r>
            <w:r w:rsidR="00476F1B">
              <w:br/>
              <w:t xml:space="preserve">o Przyznanie Pomocy w </w:t>
            </w:r>
            <w:r w:rsidRPr="000344F5">
              <w:t xml:space="preserve">pkt. </w:t>
            </w:r>
            <w:r w:rsidR="00476F1B">
              <w:t xml:space="preserve">B.V. Zestawienie rzeczowo – finansowe operacji </w:t>
            </w:r>
            <w:r w:rsidRPr="000344F5">
              <w:t>dotyczą zakupu sprzętu, urządzeń lub rozwiązań przyczyniających się do poprawy ochrony środowiska</w:t>
            </w:r>
            <w:r>
              <w:t>.</w:t>
            </w:r>
          </w:p>
        </w:tc>
      </w:tr>
      <w:tr w:rsidR="00690EF5" w:rsidTr="00476F1B">
        <w:trPr>
          <w:trHeight w:val="36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Realizacja operacji przyczynia się do zaspokojenia potrzeb grup defaworyzowanych </w:t>
            </w:r>
            <w:r>
              <w:rPr>
                <w:color w:val="000000"/>
                <w:lang w:eastAsia="en-US"/>
              </w:rPr>
              <w:t xml:space="preserve">wskazanych w LSR </w:t>
            </w:r>
            <w:r w:rsidRPr="00510551">
              <w:rPr>
                <w:color w:val="000000"/>
                <w:lang w:eastAsia="en-US"/>
              </w:rPr>
              <w:t>– 1 pkt.</w:t>
            </w:r>
          </w:p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Realizacja operacji nie przyczynia się do zaspokojenia potrzeb grup defaworyzowanych – 0 pkt.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510551" w:rsidRDefault="00690EF5" w:rsidP="00476F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Kryterium to preferuje operacje, które przyczyniają się do zaspokojenia określonych w LSR potrzeb i problemów grup zagrożonych wykluczeniem </w:t>
            </w:r>
            <w:r w:rsidR="00476F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w odniesieniu do rynku pracy. Kryterium uważa się za spełnione, jeżeli realizacja operacj</w:t>
            </w:r>
            <w:r w:rsidR="000344F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przyczyni się do zwiększenia włączenia gospodarczego tych osób, zapewnienie powrotu na rynek pracy osobom bezrobotnym lub biernym zawodowo poprzez ich zatrudnienie w ramach realizacji operacji – deklaracja wnioskodawcy.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E2A0D" w:rsidRDefault="004E2A0D" w:rsidP="004E2A0D">
            <w:pPr>
              <w:autoSpaceDE w:val="0"/>
              <w:autoSpaceDN w:val="0"/>
              <w:adjustRightInd w:val="0"/>
              <w:rPr>
                <w:b/>
              </w:rPr>
            </w:pPr>
            <w:r w:rsidRPr="0062583A">
              <w:rPr>
                <w:b/>
              </w:rPr>
              <w:t xml:space="preserve">Deklaracja wnioskodawcy </w:t>
            </w:r>
            <w:r>
              <w:rPr>
                <w:b/>
              </w:rPr>
              <w:br/>
            </w:r>
            <w:r w:rsidRPr="0062583A">
              <w:rPr>
                <w:b/>
              </w:rPr>
              <w:t>o zatrudnieniu</w:t>
            </w:r>
            <w:r>
              <w:rPr>
                <w:b/>
              </w:rPr>
              <w:t>:</w:t>
            </w:r>
          </w:p>
          <w:p w:rsidR="004E2A0D" w:rsidRDefault="004E2A0D" w:rsidP="004E2A0D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601" w:hanging="283"/>
              <w:rPr>
                <w:color w:val="000000"/>
              </w:rPr>
            </w:pPr>
            <w:r w:rsidRPr="0062583A">
              <w:rPr>
                <w:color w:val="000000"/>
              </w:rPr>
              <w:t>osoby długotrwale bezrobotnej</w:t>
            </w:r>
          </w:p>
          <w:p w:rsidR="004E2A0D" w:rsidRDefault="004E2A0D" w:rsidP="004E2A0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>
              <w:rPr>
                <w:color w:val="000000"/>
              </w:rPr>
              <w:t>lub</w:t>
            </w:r>
          </w:p>
          <w:p w:rsidR="004E2A0D" w:rsidRDefault="004E2A0D" w:rsidP="004E2A0D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459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bezrobotnej</w:t>
            </w:r>
            <w:r w:rsidRPr="0062583A">
              <w:rPr>
                <w:color w:val="000000"/>
              </w:rPr>
              <w:t xml:space="preserve"> lub biern</w:t>
            </w:r>
            <w:r>
              <w:rPr>
                <w:color w:val="000000"/>
              </w:rPr>
              <w:t>ej</w:t>
            </w:r>
            <w:r w:rsidRPr="0062583A">
              <w:rPr>
                <w:color w:val="000000"/>
              </w:rPr>
              <w:t xml:space="preserve"> zawodowo osob</w:t>
            </w:r>
            <w:r>
              <w:rPr>
                <w:color w:val="000000"/>
              </w:rPr>
              <w:t>y</w:t>
            </w:r>
            <w:r w:rsidRPr="0062583A">
              <w:rPr>
                <w:color w:val="000000"/>
              </w:rPr>
              <w:t xml:space="preserve"> do 30 roku życia</w:t>
            </w:r>
          </w:p>
          <w:p w:rsidR="004E2A0D" w:rsidRPr="0062583A" w:rsidRDefault="004E2A0D" w:rsidP="004E2A0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r>
              <w:rPr>
                <w:color w:val="000000"/>
              </w:rPr>
              <w:t>lub</w:t>
            </w:r>
          </w:p>
          <w:p w:rsidR="004E2A0D" w:rsidRPr="00E8600C" w:rsidRDefault="004E2A0D" w:rsidP="004E2A0D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left="459" w:hanging="283"/>
              <w:jc w:val="center"/>
              <w:rPr>
                <w:color w:val="000000"/>
              </w:rPr>
            </w:pPr>
            <w:r w:rsidRPr="00E8600C">
              <w:rPr>
                <w:color w:val="000000"/>
              </w:rPr>
              <w:t>osob</w:t>
            </w:r>
            <w:r>
              <w:rPr>
                <w:color w:val="000000"/>
              </w:rPr>
              <w:t>y</w:t>
            </w:r>
            <w:r w:rsidRPr="00E8600C">
              <w:rPr>
                <w:color w:val="000000"/>
              </w:rPr>
              <w:t xml:space="preserve"> bezrobotn</w:t>
            </w:r>
            <w:r>
              <w:rPr>
                <w:color w:val="000000"/>
              </w:rPr>
              <w:t>ej lub biernej</w:t>
            </w:r>
            <w:r w:rsidRPr="00E8600C">
              <w:rPr>
                <w:color w:val="000000"/>
              </w:rPr>
              <w:t xml:space="preserve"> zawodowo powyżej 50 roku życia</w:t>
            </w:r>
          </w:p>
          <w:p w:rsidR="00690EF5" w:rsidRPr="000344F5" w:rsidRDefault="00690EF5" w:rsidP="00476F1B">
            <w:pPr>
              <w:jc w:val="center"/>
              <w:rPr>
                <w:b/>
              </w:rPr>
            </w:pPr>
          </w:p>
        </w:tc>
      </w:tr>
      <w:tr w:rsidR="00690EF5" w:rsidTr="00476F1B">
        <w:trPr>
          <w:trHeight w:val="36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Operacja zawiera rozwiązania innowacyjne </w:t>
            </w:r>
            <w:r w:rsidRPr="00510551">
              <w:rPr>
                <w:b/>
                <w:color w:val="000000"/>
                <w:lang w:eastAsia="en-US"/>
              </w:rPr>
              <w:t>- 1 pkt.</w:t>
            </w:r>
          </w:p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Operacja nie zawiera rozwiązań innowacyjnych </w:t>
            </w:r>
            <w:r w:rsidRPr="00510551">
              <w:rPr>
                <w:b/>
                <w:color w:val="000000"/>
                <w:lang w:eastAsia="en-US"/>
              </w:rPr>
              <w:t>- 0 pkt.</w:t>
            </w:r>
          </w:p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3408A" w:rsidRDefault="00690EF5" w:rsidP="00476F1B">
            <w:pPr>
              <w:jc w:val="center"/>
            </w:pPr>
            <w:r w:rsidRPr="000B347E">
              <w:rPr>
                <w:b/>
                <w:color w:val="00B050"/>
                <w:sz w:val="28"/>
                <w:szCs w:val="28"/>
              </w:rPr>
              <w:lastRenderedPageBreak/>
              <w:t xml:space="preserve">Oceniane jest nowatorstwo </w:t>
            </w:r>
            <w:r w:rsidR="000B347E">
              <w:rPr>
                <w:b/>
                <w:color w:val="00B050"/>
                <w:sz w:val="28"/>
                <w:szCs w:val="28"/>
              </w:rPr>
              <w:br/>
            </w:r>
            <w:r w:rsidRPr="000B347E">
              <w:rPr>
                <w:b/>
                <w:color w:val="00B050"/>
                <w:sz w:val="28"/>
                <w:szCs w:val="28"/>
              </w:rPr>
              <w:t>w</w:t>
            </w:r>
            <w:r w:rsidRPr="00A3408A">
              <w:rPr>
                <w:color w:val="00B050"/>
                <w:sz w:val="28"/>
                <w:szCs w:val="28"/>
              </w:rPr>
              <w:t xml:space="preserve"> </w:t>
            </w:r>
            <w:r w:rsidRPr="00A3408A">
              <w:rPr>
                <w:b/>
                <w:color w:val="00B050"/>
                <w:sz w:val="28"/>
                <w:szCs w:val="28"/>
              </w:rPr>
              <w:t>odniesieniu do obszaru LGD.</w:t>
            </w:r>
          </w:p>
          <w:p w:rsidR="00690EF5" w:rsidRPr="00510551" w:rsidRDefault="00690EF5" w:rsidP="00476F1B">
            <w:pPr>
              <w:jc w:val="center"/>
            </w:pPr>
            <w:r w:rsidRPr="00510551">
              <w:t xml:space="preserve">Preferowane są operacje, które wpisują się w innowacyjne </w:t>
            </w:r>
            <w:r w:rsidRPr="00510551">
              <w:lastRenderedPageBreak/>
              <w:t xml:space="preserve">podejście określone w LSR, tj. wykorzystujące niepraktykowane do tej pory rozwiązania, nowatorskie i o wyższym standardzie wprowadzenia nowych produktów, metod </w:t>
            </w:r>
            <w:r>
              <w:br/>
            </w:r>
            <w:r w:rsidRPr="00510551">
              <w:t xml:space="preserve">i rodzajów produkcji i usług, wytwarzania i zarządzania lub nowego sposobu wykorzystania lub zmobilizowania istniejących lokalnych zasobów </w:t>
            </w:r>
            <w:r w:rsidR="00A3408A">
              <w:t>p</w:t>
            </w:r>
            <w:r w:rsidRPr="00510551">
              <w:t xml:space="preserve">rzyrodniczych, historycznych czy społecznych, </w:t>
            </w:r>
            <w:r w:rsidRPr="00510551">
              <w:rPr>
                <w:color w:val="000000"/>
                <w:lang w:eastAsia="en-US"/>
              </w:rPr>
              <w:t xml:space="preserve">zaspokojenie potrzeb, które były pomijane </w:t>
            </w:r>
            <w:r w:rsidR="00A3408A"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>w dotychczasowych działaniach, rozwój nowych funkcji obszaru, nowy sposób angażowania społeczności lokalnej w rozwój (udowodnienie innowacyjności spoczywa na wnioskodawcy)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0EF5" w:rsidRPr="00690EF5" w:rsidRDefault="00690EF5" w:rsidP="00476F1B">
            <w:pPr>
              <w:jc w:val="center"/>
            </w:pPr>
            <w:r w:rsidRPr="000344F5">
              <w:rPr>
                <w:b/>
              </w:rPr>
              <w:lastRenderedPageBreak/>
              <w:t>Oświadczenie wnioskodawcy</w:t>
            </w:r>
            <w:r>
              <w:t xml:space="preserve"> zgodnie ze wzorem udostępnianym przez LGD</w:t>
            </w:r>
          </w:p>
        </w:tc>
      </w:tr>
      <w:tr w:rsidR="00690EF5" w:rsidRPr="00510551" w:rsidTr="00476F1B">
        <w:trPr>
          <w:trHeight w:val="15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lastRenderedPageBreak/>
              <w:t xml:space="preserve">Wnioskodawca korzystał  </w:t>
            </w:r>
            <w:r w:rsidR="000B347E"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 xml:space="preserve">z doradztwa indywidualnego </w:t>
            </w:r>
            <w:r w:rsidR="000B347E"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 xml:space="preserve">w biurze LGD </w:t>
            </w:r>
            <w:r w:rsidRPr="000B347E">
              <w:rPr>
                <w:b/>
                <w:color w:val="000000"/>
                <w:lang w:eastAsia="en-US"/>
              </w:rPr>
              <w:t xml:space="preserve">w ramach przygotowania wniosku </w:t>
            </w:r>
            <w:r w:rsidRPr="000B347E">
              <w:rPr>
                <w:b/>
                <w:color w:val="000000"/>
                <w:lang w:eastAsia="en-US"/>
              </w:rPr>
              <w:br/>
              <w:t>o przyznanie pomocy</w:t>
            </w:r>
            <w:r>
              <w:rPr>
                <w:color w:val="000000"/>
                <w:lang w:eastAsia="en-US"/>
              </w:rPr>
              <w:t xml:space="preserve"> – 3</w:t>
            </w:r>
            <w:r w:rsidRPr="00510551">
              <w:rPr>
                <w:color w:val="000000"/>
                <w:lang w:eastAsia="en-US"/>
              </w:rPr>
              <w:t xml:space="preserve"> pkt.</w:t>
            </w:r>
          </w:p>
          <w:p w:rsidR="00690EF5" w:rsidRPr="00510551" w:rsidRDefault="00690EF5" w:rsidP="00476F1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Wnioskodawca nie korzystał</w:t>
            </w:r>
            <w:r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 xml:space="preserve">z doradztwa indywidualnego </w:t>
            </w:r>
            <w:r w:rsidR="00476F1B"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 xml:space="preserve">w biurze LGD w ramach przygotowania wniosku </w:t>
            </w:r>
            <w:r w:rsidR="00476F1B"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>o przyznanie pomocy – 0 pkt.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90EF5" w:rsidRPr="00476F1B" w:rsidRDefault="00690EF5" w:rsidP="00476F1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76F1B">
              <w:rPr>
                <w:rFonts w:ascii="Times New Roman" w:hAnsi="Times New Roman" w:cs="Times New Roman"/>
                <w:b/>
                <w:color w:val="00B050"/>
              </w:rPr>
              <w:t xml:space="preserve">Kryterium premiuje wnioskodawców korzystających  </w:t>
            </w:r>
            <w:r w:rsidR="00476F1B" w:rsidRPr="00476F1B">
              <w:rPr>
                <w:rFonts w:ascii="Times New Roman" w:hAnsi="Times New Roman" w:cs="Times New Roman"/>
                <w:b/>
                <w:color w:val="00B050"/>
              </w:rPr>
              <w:br/>
            </w:r>
            <w:r w:rsidRPr="00476F1B">
              <w:rPr>
                <w:rFonts w:ascii="Times New Roman" w:hAnsi="Times New Roman" w:cs="Times New Roman"/>
                <w:b/>
                <w:color w:val="00B050"/>
              </w:rPr>
              <w:t>z doradztwa w celu zapewnienia jak najwyższej jakości złożonych wniosków.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0EF5" w:rsidRPr="00690EF5" w:rsidRDefault="00690EF5" w:rsidP="00476F1B">
            <w:pPr>
              <w:jc w:val="center"/>
            </w:pPr>
            <w:r>
              <w:t xml:space="preserve">Karty doradztwa prowadzone przez biuro LGD dotyczące wsparcia na etapie przygotowania wniosku </w:t>
            </w:r>
            <w:r w:rsidR="000B347E">
              <w:br/>
            </w:r>
            <w:r>
              <w:t>o p</w:t>
            </w:r>
            <w:r w:rsidR="000B347E">
              <w:t xml:space="preserve">rzyznanie pomocy. Kryterium weryfikowane na podstawie kart udostępnionych Radzie przez </w:t>
            </w:r>
            <w:r w:rsidR="00110B51">
              <w:t xml:space="preserve">pracowników </w:t>
            </w:r>
            <w:r w:rsidR="000B347E">
              <w:t>biura.</w:t>
            </w:r>
          </w:p>
        </w:tc>
      </w:tr>
    </w:tbl>
    <w:p w:rsidR="00987C63" w:rsidRDefault="00987C63" w:rsidP="00245815">
      <w:pPr>
        <w:jc w:val="both"/>
      </w:pPr>
    </w:p>
    <w:sectPr w:rsidR="00987C63" w:rsidSect="007C4ED2">
      <w:headerReference w:type="default" r:id="rId8"/>
      <w:footerReference w:type="default" r:id="rId9"/>
      <w:pgSz w:w="11906" w:h="16838"/>
      <w:pgMar w:top="1440" w:right="1080" w:bottom="1440" w:left="1080" w:header="102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38" w:rsidRDefault="004A6438" w:rsidP="000A2EC7">
      <w:r>
        <w:separator/>
      </w:r>
    </w:p>
  </w:endnote>
  <w:endnote w:type="continuationSeparator" w:id="0">
    <w:p w:rsidR="004A6438" w:rsidRDefault="004A6438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D2" w:rsidRDefault="007C4ED2" w:rsidP="007C4ED2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7C4ED2" w:rsidRPr="00C375B3" w:rsidRDefault="007C4ED2" w:rsidP="007C4ED2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38" w:rsidRDefault="004A6438" w:rsidP="000A2EC7">
      <w:r>
        <w:separator/>
      </w:r>
    </w:p>
  </w:footnote>
  <w:footnote w:type="continuationSeparator" w:id="0">
    <w:p w:rsidR="004A6438" w:rsidRDefault="004A6438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4507B6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036C"/>
    <w:multiLevelType w:val="hybridMultilevel"/>
    <w:tmpl w:val="1312008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CF105A"/>
    <w:multiLevelType w:val="hybridMultilevel"/>
    <w:tmpl w:val="1312008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4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2"/>
  </w:num>
  <w:num w:numId="5">
    <w:abstractNumId w:val="7"/>
  </w:num>
  <w:num w:numId="6">
    <w:abstractNumId w:val="23"/>
  </w:num>
  <w:num w:numId="7">
    <w:abstractNumId w:val="13"/>
  </w:num>
  <w:num w:numId="8">
    <w:abstractNumId w:val="19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21"/>
  </w:num>
  <w:num w:numId="21">
    <w:abstractNumId w:val="25"/>
  </w:num>
  <w:num w:numId="22">
    <w:abstractNumId w:val="5"/>
  </w:num>
  <w:num w:numId="23">
    <w:abstractNumId w:val="17"/>
  </w:num>
  <w:num w:numId="24">
    <w:abstractNumId w:val="16"/>
  </w:num>
  <w:num w:numId="25">
    <w:abstractNumId w:val="15"/>
  </w:num>
  <w:num w:numId="2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32734"/>
    <w:rsid w:val="000344F5"/>
    <w:rsid w:val="00041CC6"/>
    <w:rsid w:val="00047391"/>
    <w:rsid w:val="000519F4"/>
    <w:rsid w:val="000556FB"/>
    <w:rsid w:val="000624AA"/>
    <w:rsid w:val="00064EFC"/>
    <w:rsid w:val="00070050"/>
    <w:rsid w:val="00074507"/>
    <w:rsid w:val="000864B1"/>
    <w:rsid w:val="00092CCA"/>
    <w:rsid w:val="000931A7"/>
    <w:rsid w:val="000A1E04"/>
    <w:rsid w:val="000A2EC7"/>
    <w:rsid w:val="000B25B3"/>
    <w:rsid w:val="000B347E"/>
    <w:rsid w:val="000B5900"/>
    <w:rsid w:val="000D14CE"/>
    <w:rsid w:val="000D1E47"/>
    <w:rsid w:val="000E55A9"/>
    <w:rsid w:val="000F0717"/>
    <w:rsid w:val="000F3CD1"/>
    <w:rsid w:val="00103FC6"/>
    <w:rsid w:val="00110B51"/>
    <w:rsid w:val="00113116"/>
    <w:rsid w:val="00136184"/>
    <w:rsid w:val="00142350"/>
    <w:rsid w:val="00145C3C"/>
    <w:rsid w:val="00146969"/>
    <w:rsid w:val="001537B5"/>
    <w:rsid w:val="00153F05"/>
    <w:rsid w:val="0015703A"/>
    <w:rsid w:val="00160F7F"/>
    <w:rsid w:val="001742D8"/>
    <w:rsid w:val="00174910"/>
    <w:rsid w:val="00197959"/>
    <w:rsid w:val="001A32CF"/>
    <w:rsid w:val="001A7A59"/>
    <w:rsid w:val="001B0ABB"/>
    <w:rsid w:val="001B48A8"/>
    <w:rsid w:val="001B4C7F"/>
    <w:rsid w:val="001B508F"/>
    <w:rsid w:val="001B51E4"/>
    <w:rsid w:val="001B6563"/>
    <w:rsid w:val="001C0479"/>
    <w:rsid w:val="001C3A9B"/>
    <w:rsid w:val="001C7C0A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082A"/>
    <w:rsid w:val="002B1AA7"/>
    <w:rsid w:val="002B35DA"/>
    <w:rsid w:val="002C4BFC"/>
    <w:rsid w:val="002C68A9"/>
    <w:rsid w:val="002D1FFB"/>
    <w:rsid w:val="002D2490"/>
    <w:rsid w:val="002D2F46"/>
    <w:rsid w:val="002D5A82"/>
    <w:rsid w:val="002D5EAF"/>
    <w:rsid w:val="002E026F"/>
    <w:rsid w:val="002E4B0A"/>
    <w:rsid w:val="002F4BA9"/>
    <w:rsid w:val="002F5850"/>
    <w:rsid w:val="00311625"/>
    <w:rsid w:val="00316BEF"/>
    <w:rsid w:val="00316DD9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7359"/>
    <w:rsid w:val="003B73F4"/>
    <w:rsid w:val="003D3431"/>
    <w:rsid w:val="003E16F7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749B"/>
    <w:rsid w:val="00475780"/>
    <w:rsid w:val="00476F1B"/>
    <w:rsid w:val="004823EC"/>
    <w:rsid w:val="004957EF"/>
    <w:rsid w:val="0049643A"/>
    <w:rsid w:val="0049680D"/>
    <w:rsid w:val="004971D0"/>
    <w:rsid w:val="00497AAF"/>
    <w:rsid w:val="004A5A1A"/>
    <w:rsid w:val="004A6438"/>
    <w:rsid w:val="004B32EE"/>
    <w:rsid w:val="004B5B3D"/>
    <w:rsid w:val="004C052E"/>
    <w:rsid w:val="004C2582"/>
    <w:rsid w:val="004E2A0D"/>
    <w:rsid w:val="004E3F40"/>
    <w:rsid w:val="004E715B"/>
    <w:rsid w:val="004F4161"/>
    <w:rsid w:val="0052035E"/>
    <w:rsid w:val="00525E3C"/>
    <w:rsid w:val="00530274"/>
    <w:rsid w:val="00534B80"/>
    <w:rsid w:val="00553193"/>
    <w:rsid w:val="005720E1"/>
    <w:rsid w:val="00572F4E"/>
    <w:rsid w:val="0057487A"/>
    <w:rsid w:val="005978E7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2D39"/>
    <w:rsid w:val="005F6802"/>
    <w:rsid w:val="00605311"/>
    <w:rsid w:val="0060557F"/>
    <w:rsid w:val="006062CA"/>
    <w:rsid w:val="0060671B"/>
    <w:rsid w:val="00615FD1"/>
    <w:rsid w:val="0062112C"/>
    <w:rsid w:val="006244F9"/>
    <w:rsid w:val="006302C8"/>
    <w:rsid w:val="006322E2"/>
    <w:rsid w:val="0064396A"/>
    <w:rsid w:val="00653AB8"/>
    <w:rsid w:val="00656CBE"/>
    <w:rsid w:val="00662BE7"/>
    <w:rsid w:val="0066699E"/>
    <w:rsid w:val="00674E47"/>
    <w:rsid w:val="00677132"/>
    <w:rsid w:val="00684BFA"/>
    <w:rsid w:val="006901F0"/>
    <w:rsid w:val="00690EF5"/>
    <w:rsid w:val="0069231F"/>
    <w:rsid w:val="0069466A"/>
    <w:rsid w:val="0069558B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594F"/>
    <w:rsid w:val="006F6734"/>
    <w:rsid w:val="006F7770"/>
    <w:rsid w:val="007216CF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A1D4E"/>
    <w:rsid w:val="007B001D"/>
    <w:rsid w:val="007B5D8F"/>
    <w:rsid w:val="007C35BE"/>
    <w:rsid w:val="007C4ED2"/>
    <w:rsid w:val="007C5C43"/>
    <w:rsid w:val="007D3EF4"/>
    <w:rsid w:val="007E38C2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64A3"/>
    <w:rsid w:val="00932478"/>
    <w:rsid w:val="0096201B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A05170"/>
    <w:rsid w:val="00A10AAC"/>
    <w:rsid w:val="00A2689E"/>
    <w:rsid w:val="00A30021"/>
    <w:rsid w:val="00A30576"/>
    <w:rsid w:val="00A3408A"/>
    <w:rsid w:val="00A47740"/>
    <w:rsid w:val="00A55302"/>
    <w:rsid w:val="00A7211B"/>
    <w:rsid w:val="00A73883"/>
    <w:rsid w:val="00A81048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01F"/>
    <w:rsid w:val="00AD0335"/>
    <w:rsid w:val="00AD09BB"/>
    <w:rsid w:val="00AD2258"/>
    <w:rsid w:val="00AD4D5A"/>
    <w:rsid w:val="00AD611A"/>
    <w:rsid w:val="00AE3726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C69A1"/>
    <w:rsid w:val="00BD3D81"/>
    <w:rsid w:val="00BD6236"/>
    <w:rsid w:val="00BE1A6D"/>
    <w:rsid w:val="00BE5396"/>
    <w:rsid w:val="00BF36C1"/>
    <w:rsid w:val="00BF6B1D"/>
    <w:rsid w:val="00C03FDC"/>
    <w:rsid w:val="00C04A56"/>
    <w:rsid w:val="00C1151F"/>
    <w:rsid w:val="00C20C23"/>
    <w:rsid w:val="00C23A0B"/>
    <w:rsid w:val="00C27051"/>
    <w:rsid w:val="00C30E50"/>
    <w:rsid w:val="00C432C4"/>
    <w:rsid w:val="00C4788C"/>
    <w:rsid w:val="00C56319"/>
    <w:rsid w:val="00C56679"/>
    <w:rsid w:val="00C65D40"/>
    <w:rsid w:val="00C675DA"/>
    <w:rsid w:val="00C7208B"/>
    <w:rsid w:val="00C73363"/>
    <w:rsid w:val="00C80DC5"/>
    <w:rsid w:val="00C83ED5"/>
    <w:rsid w:val="00C918FD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13C7"/>
    <w:rsid w:val="00D5556E"/>
    <w:rsid w:val="00D75539"/>
    <w:rsid w:val="00D75E5A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358"/>
    <w:rsid w:val="00E37E7B"/>
    <w:rsid w:val="00E45108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4683F"/>
    <w:rsid w:val="00F504A2"/>
    <w:rsid w:val="00F542D6"/>
    <w:rsid w:val="00F61F24"/>
    <w:rsid w:val="00F62C72"/>
    <w:rsid w:val="00F64B9B"/>
    <w:rsid w:val="00F9211C"/>
    <w:rsid w:val="00FB38CB"/>
    <w:rsid w:val="00FB42D3"/>
    <w:rsid w:val="00FC1D91"/>
    <w:rsid w:val="00FD6B15"/>
    <w:rsid w:val="00FE1B97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uiPriority w:val="59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83D0-F996-4CD2-9CCF-448CCEF7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2016-10-03T10:51:00Z</cp:lastPrinted>
  <dcterms:created xsi:type="dcterms:W3CDTF">2017-08-01T12:56:00Z</dcterms:created>
  <dcterms:modified xsi:type="dcterms:W3CDTF">2017-08-01T12:56:00Z</dcterms:modified>
</cp:coreProperties>
</file>