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14742" w:type="dxa"/>
        <w:tblInd w:w="-572" w:type="dxa"/>
        <w:tblLook w:val="04A0" w:firstRow="1" w:lastRow="0" w:firstColumn="1" w:lastColumn="0" w:noHBand="0" w:noVBand="1"/>
      </w:tblPr>
      <w:tblGrid>
        <w:gridCol w:w="836"/>
        <w:gridCol w:w="3559"/>
        <w:gridCol w:w="6095"/>
        <w:gridCol w:w="1139"/>
        <w:gridCol w:w="36"/>
        <w:gridCol w:w="3077"/>
      </w:tblGrid>
      <w:tr w:rsidR="0074345A" w:rsidRPr="0028337D" w14:paraId="40B9DD69" w14:textId="77777777" w:rsidTr="007636B3">
        <w:trPr>
          <w:trHeight w:val="406"/>
        </w:trPr>
        <w:tc>
          <w:tcPr>
            <w:tcW w:w="836" w:type="dxa"/>
            <w:shd w:val="clear" w:color="auto" w:fill="BFBFBF" w:themeFill="background1" w:themeFillShade="BF"/>
            <w:vAlign w:val="center"/>
          </w:tcPr>
          <w:p w14:paraId="3E381D58" w14:textId="77777777" w:rsidR="0074345A" w:rsidRPr="0028337D" w:rsidRDefault="0074345A" w:rsidP="007C2BBB">
            <w:pPr>
              <w:spacing w:before="0" w:after="0"/>
              <w:jc w:val="center"/>
              <w:rPr>
                <w:rFonts w:cs="Times New Roman"/>
                <w:b/>
                <w:bCs/>
                <w:szCs w:val="24"/>
              </w:rPr>
            </w:pPr>
            <w:r w:rsidRPr="0028337D">
              <w:rPr>
                <w:rFonts w:cs="Times New Roman"/>
                <w:b/>
                <w:bCs/>
                <w:szCs w:val="24"/>
              </w:rPr>
              <w:t>Lp.</w:t>
            </w:r>
          </w:p>
        </w:tc>
        <w:tc>
          <w:tcPr>
            <w:tcW w:w="3559" w:type="dxa"/>
            <w:shd w:val="clear" w:color="auto" w:fill="BFBFBF" w:themeFill="background1" w:themeFillShade="BF"/>
            <w:vAlign w:val="center"/>
          </w:tcPr>
          <w:p w14:paraId="09CA822D" w14:textId="77777777" w:rsidR="0074345A" w:rsidRPr="0028337D" w:rsidRDefault="0074345A" w:rsidP="007C2BBB">
            <w:pPr>
              <w:spacing w:before="0" w:after="0"/>
              <w:jc w:val="center"/>
              <w:rPr>
                <w:rFonts w:cs="Times New Roman"/>
                <w:b/>
                <w:bCs/>
                <w:szCs w:val="24"/>
              </w:rPr>
            </w:pPr>
            <w:r w:rsidRPr="0028337D">
              <w:rPr>
                <w:rFonts w:cs="Times New Roman"/>
                <w:b/>
                <w:bCs/>
                <w:szCs w:val="24"/>
              </w:rPr>
              <w:t>Lokalne kryteria wyboru operacji</w:t>
            </w:r>
          </w:p>
        </w:tc>
        <w:tc>
          <w:tcPr>
            <w:tcW w:w="6095" w:type="dxa"/>
            <w:shd w:val="clear" w:color="auto" w:fill="BFBFBF" w:themeFill="background1" w:themeFillShade="BF"/>
            <w:vAlign w:val="center"/>
          </w:tcPr>
          <w:p w14:paraId="38F0BD95" w14:textId="77777777" w:rsidR="0074345A" w:rsidRPr="0028337D" w:rsidRDefault="0074345A" w:rsidP="007C2BBB">
            <w:pPr>
              <w:spacing w:before="0" w:after="0"/>
              <w:jc w:val="center"/>
              <w:rPr>
                <w:rFonts w:cs="Times New Roman"/>
                <w:b/>
                <w:bCs/>
                <w:szCs w:val="24"/>
              </w:rPr>
            </w:pPr>
            <w:r w:rsidRPr="0028337D">
              <w:rPr>
                <w:rFonts w:cs="Times New Roman"/>
                <w:b/>
                <w:szCs w:val="24"/>
              </w:rPr>
              <w:t>Opis kryterium/ź</w:t>
            </w:r>
            <w:r w:rsidRPr="0028337D">
              <w:rPr>
                <w:rFonts w:cs="Times New Roman"/>
                <w:b/>
                <w:bCs/>
                <w:szCs w:val="24"/>
              </w:rPr>
              <w:t>ródło danych</w:t>
            </w:r>
          </w:p>
        </w:tc>
        <w:tc>
          <w:tcPr>
            <w:tcW w:w="1175" w:type="dxa"/>
            <w:gridSpan w:val="2"/>
            <w:shd w:val="clear" w:color="auto" w:fill="BFBFBF" w:themeFill="background1" w:themeFillShade="BF"/>
            <w:vAlign w:val="center"/>
          </w:tcPr>
          <w:p w14:paraId="06A5D0AE" w14:textId="77777777" w:rsidR="0074345A" w:rsidRPr="0028337D" w:rsidRDefault="0074345A" w:rsidP="007C2BBB">
            <w:pPr>
              <w:spacing w:before="0" w:after="0"/>
              <w:jc w:val="center"/>
              <w:rPr>
                <w:rFonts w:cs="Times New Roman"/>
                <w:b/>
                <w:bCs/>
                <w:szCs w:val="24"/>
              </w:rPr>
            </w:pPr>
            <w:r w:rsidRPr="0028337D">
              <w:rPr>
                <w:rFonts w:cs="Times New Roman"/>
                <w:b/>
                <w:bCs/>
                <w:szCs w:val="24"/>
              </w:rPr>
              <w:t>Max. liczba punktów</w:t>
            </w:r>
          </w:p>
        </w:tc>
        <w:tc>
          <w:tcPr>
            <w:tcW w:w="3077" w:type="dxa"/>
            <w:shd w:val="clear" w:color="auto" w:fill="BFBFBF" w:themeFill="background1" w:themeFillShade="BF"/>
            <w:vAlign w:val="center"/>
          </w:tcPr>
          <w:p w14:paraId="09ACAEC8" w14:textId="02CF19B0" w:rsidR="0074345A" w:rsidRPr="0028337D" w:rsidRDefault="0074345A" w:rsidP="007C2BBB">
            <w:pPr>
              <w:spacing w:before="0" w:after="0"/>
              <w:jc w:val="center"/>
              <w:rPr>
                <w:rFonts w:cs="Times New Roman"/>
                <w:b/>
                <w:bCs/>
                <w:szCs w:val="24"/>
              </w:rPr>
            </w:pPr>
            <w:r>
              <w:rPr>
                <w:rFonts w:cs="Times New Roman"/>
                <w:b/>
                <w:bCs/>
                <w:szCs w:val="24"/>
              </w:rPr>
              <w:t>Uwagi do kryterium</w:t>
            </w:r>
          </w:p>
        </w:tc>
      </w:tr>
      <w:tr w:rsidR="0074345A" w:rsidRPr="0028337D" w14:paraId="53CEE99C" w14:textId="77777777" w:rsidTr="007636B3">
        <w:tc>
          <w:tcPr>
            <w:tcW w:w="836" w:type="dxa"/>
            <w:vAlign w:val="center"/>
          </w:tcPr>
          <w:p w14:paraId="356FEC2C" w14:textId="77777777" w:rsidR="0074345A" w:rsidRPr="0028337D" w:rsidRDefault="0074345A" w:rsidP="007C2BBB">
            <w:pPr>
              <w:pStyle w:val="Akapitzlist"/>
              <w:numPr>
                <w:ilvl w:val="0"/>
                <w:numId w:val="13"/>
              </w:numPr>
              <w:spacing w:before="0" w:after="0"/>
              <w:jc w:val="center"/>
              <w:rPr>
                <w:rFonts w:cs="Times New Roman"/>
                <w:b/>
                <w:bCs/>
                <w:szCs w:val="24"/>
              </w:rPr>
            </w:pPr>
          </w:p>
        </w:tc>
        <w:tc>
          <w:tcPr>
            <w:tcW w:w="3559" w:type="dxa"/>
            <w:vAlign w:val="center"/>
          </w:tcPr>
          <w:p w14:paraId="21C42476" w14:textId="77777777" w:rsidR="0074345A" w:rsidRPr="0028337D" w:rsidRDefault="0074345A" w:rsidP="007C2BBB">
            <w:pPr>
              <w:spacing w:before="0" w:after="0"/>
              <w:rPr>
                <w:rFonts w:cs="Times New Roman"/>
                <w:b/>
                <w:bCs/>
                <w:i/>
                <w:iCs/>
                <w:szCs w:val="24"/>
              </w:rPr>
            </w:pPr>
            <w:r w:rsidRPr="0028337D">
              <w:rPr>
                <w:rFonts w:cs="Times New Roman"/>
                <w:b/>
                <w:bCs/>
                <w:i/>
                <w:iCs/>
                <w:szCs w:val="24"/>
              </w:rPr>
              <w:t>Wysokość intensywności pomocy</w:t>
            </w:r>
          </w:p>
          <w:p w14:paraId="7CB7797D" w14:textId="2E2030C0" w:rsidR="0074345A" w:rsidRPr="0028337D" w:rsidRDefault="0074345A" w:rsidP="007C2BBB">
            <w:pPr>
              <w:pStyle w:val="Akapitzlist"/>
              <w:numPr>
                <w:ilvl w:val="0"/>
                <w:numId w:val="2"/>
              </w:numPr>
              <w:spacing w:before="0" w:after="0"/>
              <w:ind w:left="172" w:hanging="172"/>
              <w:rPr>
                <w:rFonts w:cs="Times New Roman"/>
                <w:szCs w:val="24"/>
              </w:rPr>
            </w:pPr>
            <w:r w:rsidRPr="0028337D">
              <w:rPr>
                <w:rFonts w:cs="Times New Roman"/>
                <w:b/>
                <w:bCs/>
                <w:szCs w:val="24"/>
              </w:rPr>
              <w:t>4 pkt</w:t>
            </w:r>
            <w:r w:rsidRPr="0028337D">
              <w:rPr>
                <w:rFonts w:cs="Times New Roman"/>
                <w:szCs w:val="24"/>
              </w:rPr>
              <w:t xml:space="preserve"> - wysokość wkładu własnego jest wyższa o co najmniej 5% </w:t>
            </w:r>
            <w:r w:rsidR="00904456">
              <w:rPr>
                <w:rFonts w:cs="Times New Roman"/>
                <w:szCs w:val="24"/>
              </w:rPr>
              <w:t>(ale nie wyższa niż 20% wydatków kwalifikowalnych)</w:t>
            </w:r>
            <w:r w:rsidR="007636B3">
              <w:rPr>
                <w:rFonts w:cs="Times New Roman"/>
                <w:szCs w:val="24"/>
              </w:rPr>
              <w:t xml:space="preserve"> </w:t>
            </w:r>
            <w:r w:rsidRPr="0028337D">
              <w:rPr>
                <w:rFonts w:cs="Times New Roman"/>
                <w:szCs w:val="24"/>
              </w:rPr>
              <w:t xml:space="preserve">od wkładu minimalnego wskazanego </w:t>
            </w:r>
            <w:r w:rsidRPr="0028337D">
              <w:rPr>
                <w:rFonts w:cs="Times New Roman"/>
                <w:szCs w:val="24"/>
              </w:rPr>
              <w:br/>
              <w:t xml:space="preserve">w ogłoszeniu o naborze </w:t>
            </w:r>
          </w:p>
          <w:p w14:paraId="25BC9A36" w14:textId="77777777" w:rsidR="0074345A" w:rsidRPr="0028337D" w:rsidRDefault="0074345A" w:rsidP="007C2BBB">
            <w:pPr>
              <w:pStyle w:val="Akapitzlist"/>
              <w:numPr>
                <w:ilvl w:val="0"/>
                <w:numId w:val="2"/>
              </w:numPr>
              <w:spacing w:before="0" w:after="0"/>
              <w:ind w:left="172" w:hanging="172"/>
              <w:rPr>
                <w:rFonts w:cs="Times New Roman"/>
                <w:szCs w:val="24"/>
              </w:rPr>
            </w:pPr>
            <w:r w:rsidRPr="0028337D">
              <w:rPr>
                <w:rFonts w:cs="Times New Roman"/>
                <w:b/>
                <w:bCs/>
                <w:szCs w:val="24"/>
              </w:rPr>
              <w:t>0 pkt</w:t>
            </w:r>
            <w:r w:rsidRPr="0028337D">
              <w:rPr>
                <w:rFonts w:cs="Times New Roman"/>
                <w:szCs w:val="24"/>
              </w:rPr>
              <w:t xml:space="preserve"> - wysokość wkładu własnego nie jest wyższa o co najmniej 5% od wkładu minimalnego wskazanego </w:t>
            </w:r>
            <w:r w:rsidRPr="0028337D">
              <w:rPr>
                <w:rFonts w:cs="Times New Roman"/>
                <w:szCs w:val="24"/>
              </w:rPr>
              <w:br/>
              <w:t xml:space="preserve">w ogłoszeniu o naborze </w:t>
            </w:r>
          </w:p>
        </w:tc>
        <w:tc>
          <w:tcPr>
            <w:tcW w:w="6095" w:type="dxa"/>
            <w:vAlign w:val="center"/>
          </w:tcPr>
          <w:p w14:paraId="4F74CF60" w14:textId="75B78CD0" w:rsidR="0074345A" w:rsidRPr="0028337D" w:rsidRDefault="0074345A" w:rsidP="007C2BBB">
            <w:pPr>
              <w:spacing w:before="0" w:after="0"/>
              <w:jc w:val="center"/>
              <w:rPr>
                <w:rFonts w:cs="Times New Roman"/>
                <w:szCs w:val="24"/>
              </w:rPr>
            </w:pPr>
            <w:r w:rsidRPr="0028337D">
              <w:rPr>
                <w:rFonts w:cs="Times New Roman"/>
                <w:szCs w:val="24"/>
              </w:rPr>
              <w:t>Kryterium premiuje operacje, które zakładają większy wkład własny</w:t>
            </w:r>
            <w:r w:rsidR="00904456">
              <w:rPr>
                <w:rFonts w:cs="Times New Roman"/>
                <w:szCs w:val="24"/>
              </w:rPr>
              <w:t xml:space="preserve"> (minimalny wkład własny dla naboru stanowi 5%)</w:t>
            </w:r>
          </w:p>
          <w:p w14:paraId="4F4473D6" w14:textId="77777777" w:rsidR="0074345A" w:rsidRPr="0028337D" w:rsidRDefault="0074345A" w:rsidP="007C2BBB">
            <w:pPr>
              <w:spacing w:before="0" w:after="0"/>
              <w:jc w:val="center"/>
              <w:rPr>
                <w:rFonts w:cs="Times New Roman"/>
                <w:szCs w:val="24"/>
              </w:rPr>
            </w:pPr>
            <w:r w:rsidRPr="0028337D">
              <w:rPr>
                <w:rFonts w:cs="Times New Roman"/>
                <w:szCs w:val="24"/>
              </w:rPr>
              <w:t>Wnioskowanie o niższy poziom dofinansowania pozwoli na wsparcie większej liczby operacji, co jest istotne z punktu widzenia realizacji LSR i osiągnięcia wskaźników.</w:t>
            </w:r>
          </w:p>
          <w:p w14:paraId="101CAA0B" w14:textId="77777777" w:rsidR="0074345A" w:rsidRPr="0028337D" w:rsidRDefault="0074345A" w:rsidP="007C2BBB">
            <w:pPr>
              <w:spacing w:before="0" w:after="0"/>
              <w:jc w:val="center"/>
              <w:rPr>
                <w:rFonts w:cs="Times New Roman"/>
                <w:b/>
                <w:bCs/>
                <w:szCs w:val="24"/>
              </w:rPr>
            </w:pPr>
            <w:r w:rsidRPr="0028337D">
              <w:rPr>
                <w:rFonts w:cs="Times New Roman"/>
                <w:b/>
                <w:bCs/>
                <w:szCs w:val="24"/>
              </w:rPr>
              <w:t>Kryterium mierzalne.</w:t>
            </w:r>
          </w:p>
          <w:p w14:paraId="36B41E8B" w14:textId="326F631C" w:rsidR="0074345A" w:rsidRPr="0028337D" w:rsidRDefault="0074345A" w:rsidP="007C2BBB">
            <w:pPr>
              <w:spacing w:before="0" w:after="0"/>
              <w:jc w:val="center"/>
              <w:rPr>
                <w:rFonts w:cs="Times New Roman"/>
                <w:b/>
                <w:bCs/>
                <w:szCs w:val="24"/>
              </w:rPr>
            </w:pPr>
            <w:r w:rsidRPr="0028337D">
              <w:rPr>
                <w:rFonts w:cs="Times New Roman"/>
                <w:szCs w:val="24"/>
              </w:rPr>
              <w:t>Źródło danych: Wniosek o</w:t>
            </w:r>
            <w:r w:rsidR="004E4939">
              <w:rPr>
                <w:rFonts w:cs="Times New Roman"/>
                <w:szCs w:val="24"/>
              </w:rPr>
              <w:t xml:space="preserve"> dofinansowanie</w:t>
            </w:r>
            <w:r w:rsidR="006249DA">
              <w:rPr>
                <w:rFonts w:cs="Times New Roman"/>
                <w:szCs w:val="24"/>
              </w:rPr>
              <w:t>.</w:t>
            </w:r>
          </w:p>
        </w:tc>
        <w:tc>
          <w:tcPr>
            <w:tcW w:w="1175" w:type="dxa"/>
            <w:gridSpan w:val="2"/>
            <w:vAlign w:val="center"/>
          </w:tcPr>
          <w:p w14:paraId="37049D54" w14:textId="77777777" w:rsidR="0074345A" w:rsidRPr="0028337D" w:rsidRDefault="0074345A" w:rsidP="007C2BBB">
            <w:pPr>
              <w:spacing w:before="0" w:after="0"/>
              <w:jc w:val="center"/>
              <w:rPr>
                <w:rFonts w:cs="Times New Roman"/>
                <w:b/>
                <w:bCs/>
                <w:szCs w:val="24"/>
              </w:rPr>
            </w:pPr>
            <w:r w:rsidRPr="0028337D">
              <w:rPr>
                <w:rFonts w:cs="Times New Roman"/>
                <w:b/>
                <w:bCs/>
                <w:szCs w:val="24"/>
              </w:rPr>
              <w:t>4</w:t>
            </w:r>
          </w:p>
        </w:tc>
        <w:tc>
          <w:tcPr>
            <w:tcW w:w="3077" w:type="dxa"/>
            <w:vAlign w:val="center"/>
          </w:tcPr>
          <w:p w14:paraId="751C2546" w14:textId="77777777" w:rsidR="0074345A" w:rsidRPr="0028337D" w:rsidRDefault="0074345A" w:rsidP="007C2BBB">
            <w:pPr>
              <w:spacing w:before="0" w:after="0"/>
              <w:jc w:val="center"/>
              <w:rPr>
                <w:rFonts w:cs="Times New Roman"/>
                <w:b/>
                <w:bCs/>
                <w:szCs w:val="24"/>
              </w:rPr>
            </w:pPr>
          </w:p>
        </w:tc>
      </w:tr>
      <w:tr w:rsidR="0074345A" w:rsidRPr="0028337D" w14:paraId="2909746F" w14:textId="77777777" w:rsidTr="007636B3">
        <w:tc>
          <w:tcPr>
            <w:tcW w:w="836" w:type="dxa"/>
            <w:vAlign w:val="center"/>
          </w:tcPr>
          <w:p w14:paraId="43E4F730" w14:textId="77777777" w:rsidR="0074345A" w:rsidRPr="0028337D" w:rsidRDefault="0074345A" w:rsidP="007C2BBB">
            <w:pPr>
              <w:pStyle w:val="Akapitzlist"/>
              <w:numPr>
                <w:ilvl w:val="0"/>
                <w:numId w:val="13"/>
              </w:numPr>
              <w:spacing w:before="0" w:after="0"/>
              <w:jc w:val="center"/>
              <w:rPr>
                <w:rFonts w:cs="Times New Roman"/>
                <w:b/>
                <w:bCs/>
                <w:szCs w:val="24"/>
              </w:rPr>
            </w:pPr>
          </w:p>
        </w:tc>
        <w:tc>
          <w:tcPr>
            <w:tcW w:w="3559" w:type="dxa"/>
            <w:vAlign w:val="center"/>
          </w:tcPr>
          <w:p w14:paraId="41EBCD65" w14:textId="77777777" w:rsidR="0074345A" w:rsidRPr="0028337D" w:rsidRDefault="0074345A" w:rsidP="007C2BBB">
            <w:pPr>
              <w:spacing w:before="0" w:after="0"/>
              <w:jc w:val="center"/>
              <w:rPr>
                <w:rFonts w:cs="Times New Roman"/>
                <w:b/>
                <w:bCs/>
                <w:i/>
                <w:iCs/>
                <w:szCs w:val="24"/>
              </w:rPr>
            </w:pPr>
            <w:r w:rsidRPr="0028337D">
              <w:rPr>
                <w:rFonts w:cs="Times New Roman"/>
                <w:b/>
                <w:bCs/>
                <w:i/>
                <w:iCs/>
                <w:szCs w:val="24"/>
              </w:rPr>
              <w:t>Zintegrowanie</w:t>
            </w:r>
          </w:p>
          <w:p w14:paraId="0E33772F" w14:textId="77777777" w:rsidR="0074345A" w:rsidRPr="0028337D" w:rsidRDefault="0074345A" w:rsidP="007C2BBB">
            <w:pPr>
              <w:pStyle w:val="Akapitzlist"/>
              <w:numPr>
                <w:ilvl w:val="0"/>
                <w:numId w:val="9"/>
              </w:numPr>
              <w:spacing w:before="0" w:after="0"/>
              <w:ind w:left="172" w:hanging="172"/>
              <w:rPr>
                <w:rFonts w:cs="Times New Roman"/>
                <w:szCs w:val="24"/>
              </w:rPr>
            </w:pPr>
            <w:r w:rsidRPr="0028337D">
              <w:rPr>
                <w:rFonts w:cs="Times New Roman"/>
                <w:b/>
                <w:bCs/>
                <w:szCs w:val="24"/>
              </w:rPr>
              <w:t>3 pkt</w:t>
            </w:r>
            <w:r w:rsidRPr="0028337D">
              <w:rPr>
                <w:rFonts w:cs="Times New Roman"/>
                <w:szCs w:val="24"/>
              </w:rPr>
              <w:t xml:space="preserve"> – operacja zapewnia zintegrowanie działań </w:t>
            </w:r>
          </w:p>
          <w:p w14:paraId="676FF13B" w14:textId="77777777" w:rsidR="0074345A" w:rsidRPr="0028337D" w:rsidRDefault="0074345A" w:rsidP="007C2BBB">
            <w:pPr>
              <w:pStyle w:val="Akapitzlist"/>
              <w:numPr>
                <w:ilvl w:val="0"/>
                <w:numId w:val="9"/>
              </w:numPr>
              <w:spacing w:before="0" w:after="0"/>
              <w:ind w:left="172" w:hanging="172"/>
              <w:rPr>
                <w:rFonts w:cs="Times New Roman"/>
                <w:szCs w:val="24"/>
              </w:rPr>
            </w:pPr>
            <w:r w:rsidRPr="0028337D">
              <w:rPr>
                <w:rFonts w:cs="Times New Roman"/>
                <w:b/>
                <w:bCs/>
                <w:szCs w:val="24"/>
              </w:rPr>
              <w:t>0 pkt –</w:t>
            </w:r>
            <w:r w:rsidRPr="0028337D">
              <w:rPr>
                <w:rFonts w:cs="Times New Roman"/>
                <w:szCs w:val="24"/>
              </w:rPr>
              <w:t xml:space="preserve"> operacja nie zapewnia zintegrowania działań</w:t>
            </w:r>
          </w:p>
        </w:tc>
        <w:tc>
          <w:tcPr>
            <w:tcW w:w="6095" w:type="dxa"/>
            <w:vAlign w:val="center"/>
          </w:tcPr>
          <w:p w14:paraId="4C865640" w14:textId="05F073F0" w:rsidR="0074345A" w:rsidRPr="0028337D" w:rsidRDefault="0074345A" w:rsidP="007C2BBB">
            <w:pPr>
              <w:spacing w:before="0" w:after="0"/>
              <w:jc w:val="center"/>
              <w:rPr>
                <w:rFonts w:cs="Times New Roman"/>
                <w:szCs w:val="24"/>
              </w:rPr>
            </w:pPr>
            <w:r w:rsidRPr="0028337D">
              <w:rPr>
                <w:rFonts w:cs="Times New Roman"/>
                <w:szCs w:val="24"/>
              </w:rPr>
              <w:t>Kryterium premiuje operacje, które poprzez zaplanowane działania wpisują się w cele rozwojowe obszaru LGD i są ukierunkowane na rozwiązywanie wspólnych problemów rozwojowych określonych w LSR. Łączą różne dziedziny oraz tematykę (np. ochrona środowiska naturalnego i aktywizacja społeczna, w celu kompleksowego zaspokojenia zdiagnozowanych potrzeb społeczności, realizacja operacji przy wykorzystaniu obiektu dofinansowanego za pośrednictwem LGD w ramach LSR na lata 2009-2015 lub LSR na lata 2016-2024, itp.).</w:t>
            </w:r>
          </w:p>
          <w:p w14:paraId="58A7ABB7" w14:textId="77777777" w:rsidR="0074345A" w:rsidRPr="0028337D" w:rsidRDefault="0074345A" w:rsidP="007C2BBB">
            <w:pPr>
              <w:spacing w:before="0" w:after="0"/>
              <w:jc w:val="center"/>
              <w:rPr>
                <w:rFonts w:cs="Times New Roman"/>
                <w:szCs w:val="24"/>
              </w:rPr>
            </w:pPr>
            <w:r w:rsidRPr="0028337D">
              <w:rPr>
                <w:rFonts w:cs="Times New Roman"/>
                <w:szCs w:val="24"/>
              </w:rPr>
              <w:t>Preferuje się operacje zapewniające zrównoważony rozwój obszaru LSR poprzez zintegrowanie zasobów, czyli zakładanie poprzez realizację operacji jednoczesnego wykorzystania rożnych zasobów lokalnych specyficznych dla obszaru miejsc, obiektów, elementów stanowiących dziedzictwo przyrodnicze, historyczne lub kulturowe.</w:t>
            </w:r>
          </w:p>
          <w:p w14:paraId="33737CD9" w14:textId="77777777" w:rsidR="0074345A" w:rsidRPr="0028337D" w:rsidRDefault="0074345A" w:rsidP="007C2BBB">
            <w:pPr>
              <w:spacing w:before="0" w:after="0"/>
              <w:jc w:val="center"/>
              <w:rPr>
                <w:rFonts w:cs="Times New Roman"/>
                <w:b/>
                <w:bCs/>
                <w:szCs w:val="24"/>
              </w:rPr>
            </w:pPr>
            <w:r w:rsidRPr="0028337D">
              <w:rPr>
                <w:rFonts w:cs="Times New Roman"/>
                <w:b/>
                <w:bCs/>
                <w:szCs w:val="24"/>
              </w:rPr>
              <w:lastRenderedPageBreak/>
              <w:t>Kryterium mierzalne.</w:t>
            </w:r>
          </w:p>
          <w:p w14:paraId="708963DA" w14:textId="62BBB2D6" w:rsidR="0074345A" w:rsidRPr="0028337D" w:rsidRDefault="0074345A" w:rsidP="007C2BBB">
            <w:pPr>
              <w:spacing w:before="0" w:after="0"/>
              <w:jc w:val="center"/>
              <w:rPr>
                <w:rFonts w:cs="Times New Roman"/>
                <w:b/>
                <w:bCs/>
                <w:szCs w:val="24"/>
              </w:rPr>
            </w:pPr>
            <w:r w:rsidRPr="0028337D">
              <w:rPr>
                <w:rFonts w:cs="Times New Roman"/>
                <w:szCs w:val="24"/>
              </w:rPr>
              <w:t xml:space="preserve">Źródło danych: Wniosek o </w:t>
            </w:r>
            <w:r w:rsidR="004E4939">
              <w:rPr>
                <w:rFonts w:cs="Times New Roman"/>
                <w:szCs w:val="24"/>
              </w:rPr>
              <w:t>dofinansowanie</w:t>
            </w:r>
            <w:r w:rsidRPr="0028337D">
              <w:rPr>
                <w:rFonts w:cs="Times New Roman"/>
                <w:szCs w:val="24"/>
              </w:rPr>
              <w:t>.</w:t>
            </w:r>
          </w:p>
        </w:tc>
        <w:tc>
          <w:tcPr>
            <w:tcW w:w="1175" w:type="dxa"/>
            <w:gridSpan w:val="2"/>
            <w:vAlign w:val="center"/>
          </w:tcPr>
          <w:p w14:paraId="61C885EC" w14:textId="77777777" w:rsidR="0074345A" w:rsidRPr="0028337D" w:rsidRDefault="0074345A" w:rsidP="007C2BBB">
            <w:pPr>
              <w:spacing w:before="0" w:after="0"/>
              <w:jc w:val="center"/>
              <w:rPr>
                <w:rFonts w:cs="Times New Roman"/>
                <w:b/>
                <w:bCs/>
                <w:szCs w:val="24"/>
              </w:rPr>
            </w:pPr>
            <w:r w:rsidRPr="0028337D">
              <w:rPr>
                <w:rFonts w:cs="Times New Roman"/>
                <w:b/>
                <w:bCs/>
                <w:szCs w:val="24"/>
              </w:rPr>
              <w:lastRenderedPageBreak/>
              <w:t>3</w:t>
            </w:r>
          </w:p>
        </w:tc>
        <w:tc>
          <w:tcPr>
            <w:tcW w:w="3077" w:type="dxa"/>
            <w:vAlign w:val="center"/>
          </w:tcPr>
          <w:p w14:paraId="33D90E61" w14:textId="77777777" w:rsidR="0074345A" w:rsidRPr="0028337D" w:rsidRDefault="0074345A" w:rsidP="007C2BBB">
            <w:pPr>
              <w:spacing w:before="0" w:after="0"/>
              <w:jc w:val="center"/>
              <w:rPr>
                <w:rFonts w:cs="Times New Roman"/>
                <w:b/>
                <w:bCs/>
                <w:szCs w:val="24"/>
              </w:rPr>
            </w:pPr>
          </w:p>
        </w:tc>
      </w:tr>
      <w:tr w:rsidR="0074345A" w:rsidRPr="0028337D" w14:paraId="5FECA856" w14:textId="77777777" w:rsidTr="007636B3">
        <w:tc>
          <w:tcPr>
            <w:tcW w:w="836" w:type="dxa"/>
            <w:vAlign w:val="center"/>
          </w:tcPr>
          <w:p w14:paraId="6AC48DF4" w14:textId="77777777" w:rsidR="0074345A" w:rsidRPr="0028337D" w:rsidRDefault="0074345A" w:rsidP="007C2BBB">
            <w:pPr>
              <w:pStyle w:val="Akapitzlist"/>
              <w:numPr>
                <w:ilvl w:val="0"/>
                <w:numId w:val="13"/>
              </w:numPr>
              <w:spacing w:before="0"/>
              <w:jc w:val="center"/>
              <w:rPr>
                <w:rFonts w:cs="Times New Roman"/>
                <w:b/>
                <w:bCs/>
                <w:szCs w:val="24"/>
              </w:rPr>
            </w:pPr>
          </w:p>
        </w:tc>
        <w:tc>
          <w:tcPr>
            <w:tcW w:w="3559" w:type="dxa"/>
            <w:vAlign w:val="center"/>
          </w:tcPr>
          <w:p w14:paraId="1186BC5C" w14:textId="77777777" w:rsidR="0074345A" w:rsidRPr="0028337D" w:rsidRDefault="0074345A" w:rsidP="007C2BBB">
            <w:pPr>
              <w:spacing w:before="0" w:after="0"/>
              <w:rPr>
                <w:rFonts w:cs="Times New Roman"/>
                <w:szCs w:val="24"/>
              </w:rPr>
            </w:pPr>
            <w:r w:rsidRPr="0028337D">
              <w:rPr>
                <w:rFonts w:cs="Times New Roman"/>
                <w:b/>
                <w:bCs/>
                <w:i/>
                <w:iCs/>
                <w:szCs w:val="24"/>
              </w:rPr>
              <w:t>Gospodarowanie zasobami</w:t>
            </w:r>
          </w:p>
          <w:p w14:paraId="78F4CC7E" w14:textId="77777777" w:rsidR="0074345A" w:rsidRPr="0028337D" w:rsidRDefault="0074345A" w:rsidP="007C2BBB">
            <w:pPr>
              <w:pStyle w:val="Akapitzlist"/>
              <w:numPr>
                <w:ilvl w:val="0"/>
                <w:numId w:val="5"/>
              </w:numPr>
              <w:spacing w:before="0" w:after="0"/>
              <w:ind w:left="175" w:hanging="175"/>
              <w:rPr>
                <w:rFonts w:cs="Times New Roman"/>
                <w:szCs w:val="24"/>
              </w:rPr>
            </w:pPr>
            <w:r w:rsidRPr="0028337D">
              <w:rPr>
                <w:rFonts w:cs="Times New Roman"/>
                <w:b/>
                <w:bCs/>
                <w:szCs w:val="24"/>
              </w:rPr>
              <w:t>3 pkt</w:t>
            </w:r>
            <w:r w:rsidRPr="0028337D">
              <w:rPr>
                <w:rFonts w:cs="Times New Roman"/>
                <w:szCs w:val="24"/>
              </w:rPr>
              <w:t xml:space="preserve"> – realizowane w ramach operacji działania promują racjonalne gospodarowanie zasobami lub promują działania ograniczające presję na środowisko</w:t>
            </w:r>
          </w:p>
          <w:p w14:paraId="6255EB04" w14:textId="77777777" w:rsidR="0074345A" w:rsidRPr="0028337D" w:rsidRDefault="0074345A" w:rsidP="007C2BBB">
            <w:pPr>
              <w:pStyle w:val="Akapitzlist"/>
              <w:numPr>
                <w:ilvl w:val="0"/>
                <w:numId w:val="5"/>
              </w:numPr>
              <w:spacing w:before="0" w:after="0"/>
              <w:ind w:left="175" w:hanging="175"/>
              <w:rPr>
                <w:rFonts w:cs="Times New Roman"/>
                <w:szCs w:val="24"/>
              </w:rPr>
            </w:pPr>
            <w:r w:rsidRPr="0028337D">
              <w:rPr>
                <w:rFonts w:cs="Times New Roman"/>
                <w:b/>
                <w:bCs/>
                <w:szCs w:val="24"/>
              </w:rPr>
              <w:t>0 pkt</w:t>
            </w:r>
            <w:r w:rsidRPr="0028337D">
              <w:rPr>
                <w:rFonts w:cs="Times New Roman"/>
                <w:szCs w:val="24"/>
              </w:rPr>
              <w:t xml:space="preserve"> - realizowane w ramach operacji działania nie promują racjonalnego gospodarowania zasobami i nie promują działań ograniczających presję na środowisko</w:t>
            </w:r>
          </w:p>
        </w:tc>
        <w:tc>
          <w:tcPr>
            <w:tcW w:w="6095" w:type="dxa"/>
            <w:vAlign w:val="center"/>
          </w:tcPr>
          <w:p w14:paraId="1525F25D" w14:textId="02E0C0B0" w:rsidR="0074345A" w:rsidRPr="0028337D" w:rsidRDefault="0074345A" w:rsidP="007C2BBB">
            <w:pPr>
              <w:spacing w:before="0" w:after="0"/>
              <w:jc w:val="center"/>
              <w:rPr>
                <w:rFonts w:cs="Times New Roman"/>
                <w:szCs w:val="24"/>
              </w:rPr>
            </w:pPr>
            <w:r w:rsidRPr="0028337D">
              <w:rPr>
                <w:rFonts w:cs="Times New Roman"/>
                <w:szCs w:val="24"/>
              </w:rPr>
              <w:t xml:space="preserve">Walory środowiskowe obszaru LGD, winny być chronione i wykorzystywane w celach rozwojowych i promocyjnych obszaru, przy zachowaniu walorów przyrodniczych i kulturowych. Kryterium preferuje operacje, które </w:t>
            </w:r>
            <w:r w:rsidR="007636B3">
              <w:rPr>
                <w:rFonts w:cs="Times New Roman"/>
                <w:szCs w:val="24"/>
              </w:rPr>
              <w:t>u</w:t>
            </w:r>
            <w:r w:rsidRPr="0028337D">
              <w:rPr>
                <w:rFonts w:cs="Times New Roman"/>
                <w:szCs w:val="24"/>
              </w:rPr>
              <w:t xml:space="preserve">względniają aspekt ekologiczny. </w:t>
            </w:r>
          </w:p>
          <w:p w14:paraId="6BCFA190" w14:textId="77777777" w:rsidR="0074345A" w:rsidRPr="0028337D" w:rsidRDefault="0074345A" w:rsidP="007C2BBB">
            <w:pPr>
              <w:spacing w:before="0" w:after="0"/>
              <w:jc w:val="center"/>
              <w:rPr>
                <w:rFonts w:cs="Times New Roman"/>
                <w:szCs w:val="24"/>
              </w:rPr>
            </w:pPr>
            <w:r w:rsidRPr="0028337D">
              <w:rPr>
                <w:rFonts w:cs="Times New Roman"/>
                <w:szCs w:val="24"/>
              </w:rPr>
              <w:t xml:space="preserve">W niniejszym kryterium ocenie podlegać będzie czy </w:t>
            </w:r>
            <w:r w:rsidRPr="0028337D">
              <w:rPr>
                <w:rFonts w:cs="Times New Roman"/>
                <w:szCs w:val="24"/>
              </w:rPr>
              <w:br/>
              <w:t>w ramach operacji zostaną przeprowadzone działania edukacyjno-informacyjne w zakresie:</w:t>
            </w:r>
          </w:p>
          <w:p w14:paraId="177611F8" w14:textId="77777777" w:rsidR="0074345A" w:rsidRPr="0028337D" w:rsidRDefault="0074345A" w:rsidP="0074345A">
            <w:pPr>
              <w:pStyle w:val="Akapitzlist"/>
              <w:numPr>
                <w:ilvl w:val="0"/>
                <w:numId w:val="22"/>
              </w:numPr>
              <w:spacing w:before="0" w:after="0"/>
              <w:ind w:left="182" w:hanging="254"/>
              <w:rPr>
                <w:rFonts w:cs="Times New Roman"/>
                <w:szCs w:val="24"/>
              </w:rPr>
            </w:pPr>
            <w:r w:rsidRPr="0028337D">
              <w:rPr>
                <w:rFonts w:cs="Times New Roman"/>
                <w:szCs w:val="24"/>
              </w:rPr>
              <w:t>racjonalnego gospodarowania zasobami</w:t>
            </w:r>
          </w:p>
          <w:p w14:paraId="279C05ED" w14:textId="77777777" w:rsidR="0074345A" w:rsidRPr="0028337D" w:rsidRDefault="0074345A" w:rsidP="0074345A">
            <w:pPr>
              <w:pStyle w:val="Akapitzlist"/>
              <w:numPr>
                <w:ilvl w:val="0"/>
                <w:numId w:val="22"/>
              </w:numPr>
              <w:spacing w:before="0" w:after="0"/>
              <w:ind w:left="182" w:hanging="254"/>
              <w:rPr>
                <w:rFonts w:cs="Times New Roman"/>
                <w:szCs w:val="24"/>
              </w:rPr>
            </w:pPr>
            <w:r w:rsidRPr="0028337D">
              <w:rPr>
                <w:rFonts w:cs="Times New Roman"/>
                <w:szCs w:val="24"/>
              </w:rPr>
              <w:t>ograniczenia presji na środowisko</w:t>
            </w:r>
          </w:p>
          <w:p w14:paraId="279C1CBB" w14:textId="77777777" w:rsidR="0074345A" w:rsidRPr="0028337D" w:rsidRDefault="0074345A" w:rsidP="0074345A">
            <w:pPr>
              <w:pStyle w:val="Akapitzlist"/>
              <w:numPr>
                <w:ilvl w:val="0"/>
                <w:numId w:val="22"/>
              </w:numPr>
              <w:spacing w:before="0" w:after="0"/>
              <w:ind w:left="182" w:hanging="254"/>
              <w:rPr>
                <w:rFonts w:cs="Times New Roman"/>
                <w:szCs w:val="24"/>
              </w:rPr>
            </w:pPr>
            <w:r w:rsidRPr="0028337D">
              <w:rPr>
                <w:rFonts w:cs="Times New Roman"/>
                <w:szCs w:val="24"/>
              </w:rPr>
              <w:t>odnawialnych źródeł energii i efektywności energetycznej</w:t>
            </w:r>
          </w:p>
          <w:p w14:paraId="2B06FE4A" w14:textId="77777777" w:rsidR="0074345A" w:rsidRPr="0028337D" w:rsidRDefault="0074345A" w:rsidP="0074345A">
            <w:pPr>
              <w:pStyle w:val="Akapitzlist"/>
              <w:numPr>
                <w:ilvl w:val="0"/>
                <w:numId w:val="22"/>
              </w:numPr>
              <w:spacing w:before="0" w:after="0"/>
              <w:ind w:left="182" w:hanging="254"/>
              <w:rPr>
                <w:rFonts w:cs="Times New Roman"/>
                <w:szCs w:val="24"/>
              </w:rPr>
            </w:pPr>
            <w:r w:rsidRPr="0028337D">
              <w:rPr>
                <w:rFonts w:cs="Times New Roman"/>
                <w:szCs w:val="24"/>
              </w:rPr>
              <w:t xml:space="preserve">wykorzystania materiałów pochodzących z odzysku </w:t>
            </w:r>
            <w:r w:rsidRPr="0028337D">
              <w:rPr>
                <w:rFonts w:cs="Times New Roman"/>
                <w:szCs w:val="24"/>
              </w:rPr>
              <w:br/>
              <w:t>i recyklingu</w:t>
            </w:r>
          </w:p>
          <w:p w14:paraId="465613E1" w14:textId="77777777" w:rsidR="0074345A" w:rsidRPr="0028337D" w:rsidRDefault="0074345A" w:rsidP="0074345A">
            <w:pPr>
              <w:pStyle w:val="Akapitzlist"/>
              <w:numPr>
                <w:ilvl w:val="0"/>
                <w:numId w:val="22"/>
              </w:numPr>
              <w:spacing w:before="0" w:after="0"/>
              <w:ind w:left="182" w:hanging="254"/>
              <w:rPr>
                <w:rFonts w:cs="Times New Roman"/>
                <w:szCs w:val="24"/>
              </w:rPr>
            </w:pPr>
            <w:r w:rsidRPr="0028337D">
              <w:rPr>
                <w:rFonts w:cs="Times New Roman"/>
                <w:szCs w:val="24"/>
              </w:rPr>
              <w:t>rozwiązania w zakresie obiegu cyrkularnego.</w:t>
            </w:r>
          </w:p>
          <w:p w14:paraId="6F458503" w14:textId="77777777" w:rsidR="0074345A" w:rsidRPr="0028337D" w:rsidRDefault="0074345A" w:rsidP="007C2BBB">
            <w:pPr>
              <w:pStyle w:val="Akapitzlist"/>
              <w:spacing w:before="0" w:after="0"/>
              <w:ind w:left="182"/>
              <w:jc w:val="center"/>
              <w:rPr>
                <w:rFonts w:cs="Times New Roman"/>
                <w:szCs w:val="24"/>
              </w:rPr>
            </w:pPr>
            <w:r w:rsidRPr="0028337D">
              <w:rPr>
                <w:rFonts w:cs="Times New Roman"/>
                <w:szCs w:val="24"/>
              </w:rPr>
              <w:t>Punkty przyznaje się, jeżeli Wnioskodawca we wniosku wykaże min. dwa zakresy w/w działań edukacyjno-informacyjnych.</w:t>
            </w:r>
          </w:p>
          <w:p w14:paraId="590CC1F8" w14:textId="77777777" w:rsidR="0074345A" w:rsidRPr="0028337D" w:rsidRDefault="0074345A" w:rsidP="007C2BBB">
            <w:pPr>
              <w:spacing w:before="0" w:after="0"/>
              <w:jc w:val="center"/>
              <w:rPr>
                <w:rFonts w:cs="Times New Roman"/>
                <w:b/>
                <w:bCs/>
                <w:szCs w:val="24"/>
              </w:rPr>
            </w:pPr>
            <w:r w:rsidRPr="0028337D">
              <w:rPr>
                <w:rFonts w:cs="Times New Roman"/>
                <w:b/>
                <w:bCs/>
                <w:szCs w:val="24"/>
              </w:rPr>
              <w:t>Kryterium mierzalne.</w:t>
            </w:r>
          </w:p>
          <w:p w14:paraId="597A26ED" w14:textId="66DBEE32" w:rsidR="0074345A" w:rsidRPr="0028337D" w:rsidRDefault="0074345A" w:rsidP="007C2BBB">
            <w:pPr>
              <w:spacing w:before="0" w:after="0"/>
              <w:jc w:val="center"/>
              <w:rPr>
                <w:rFonts w:cs="Times New Roman"/>
                <w:szCs w:val="24"/>
              </w:rPr>
            </w:pPr>
            <w:r w:rsidRPr="0028337D">
              <w:rPr>
                <w:rFonts w:cs="Times New Roman"/>
                <w:szCs w:val="24"/>
              </w:rPr>
              <w:t>Źródło danych: Wniosek o przyznanie pomocy</w:t>
            </w:r>
            <w:r w:rsidR="00B544F7">
              <w:rPr>
                <w:rFonts w:cs="Times New Roman"/>
                <w:szCs w:val="24"/>
              </w:rPr>
              <w:t>.</w:t>
            </w:r>
          </w:p>
        </w:tc>
        <w:tc>
          <w:tcPr>
            <w:tcW w:w="1175" w:type="dxa"/>
            <w:gridSpan w:val="2"/>
            <w:vAlign w:val="center"/>
          </w:tcPr>
          <w:p w14:paraId="3E343827" w14:textId="77777777" w:rsidR="0074345A" w:rsidRPr="0028337D" w:rsidRDefault="0074345A" w:rsidP="007C2BBB">
            <w:pPr>
              <w:spacing w:before="0"/>
              <w:jc w:val="center"/>
              <w:rPr>
                <w:rFonts w:cs="Times New Roman"/>
                <w:b/>
                <w:bCs/>
                <w:szCs w:val="24"/>
              </w:rPr>
            </w:pPr>
            <w:r w:rsidRPr="0028337D">
              <w:rPr>
                <w:rFonts w:cs="Times New Roman"/>
                <w:b/>
                <w:bCs/>
                <w:szCs w:val="24"/>
              </w:rPr>
              <w:t>3</w:t>
            </w:r>
          </w:p>
        </w:tc>
        <w:tc>
          <w:tcPr>
            <w:tcW w:w="3077" w:type="dxa"/>
            <w:vAlign w:val="center"/>
          </w:tcPr>
          <w:p w14:paraId="6020A87D" w14:textId="77777777" w:rsidR="0074345A" w:rsidRPr="0028337D" w:rsidRDefault="0074345A" w:rsidP="007C2BBB">
            <w:pPr>
              <w:spacing w:before="0"/>
              <w:jc w:val="center"/>
              <w:rPr>
                <w:rFonts w:cs="Times New Roman"/>
                <w:b/>
                <w:bCs/>
                <w:szCs w:val="24"/>
              </w:rPr>
            </w:pPr>
          </w:p>
        </w:tc>
      </w:tr>
      <w:tr w:rsidR="00B544F7" w:rsidRPr="0028337D" w14:paraId="3330A039" w14:textId="77777777" w:rsidTr="007636B3">
        <w:tc>
          <w:tcPr>
            <w:tcW w:w="836" w:type="dxa"/>
            <w:vAlign w:val="center"/>
          </w:tcPr>
          <w:p w14:paraId="1502DEC9" w14:textId="77777777" w:rsidR="00B544F7" w:rsidRPr="0028337D" w:rsidRDefault="00B544F7" w:rsidP="00B544F7">
            <w:pPr>
              <w:pStyle w:val="Akapitzlist"/>
              <w:numPr>
                <w:ilvl w:val="0"/>
                <w:numId w:val="13"/>
              </w:numPr>
              <w:spacing w:before="0"/>
              <w:jc w:val="center"/>
              <w:rPr>
                <w:rFonts w:cs="Times New Roman"/>
                <w:b/>
                <w:bCs/>
                <w:szCs w:val="24"/>
              </w:rPr>
            </w:pPr>
          </w:p>
        </w:tc>
        <w:tc>
          <w:tcPr>
            <w:tcW w:w="3559" w:type="dxa"/>
            <w:vAlign w:val="center"/>
          </w:tcPr>
          <w:p w14:paraId="2A297BF2" w14:textId="77777777" w:rsidR="00B544F7" w:rsidRPr="0028337D" w:rsidRDefault="00B544F7" w:rsidP="00B544F7">
            <w:pPr>
              <w:autoSpaceDE w:val="0"/>
              <w:autoSpaceDN w:val="0"/>
              <w:adjustRightInd w:val="0"/>
              <w:spacing w:before="0" w:after="0"/>
              <w:jc w:val="center"/>
              <w:rPr>
                <w:rFonts w:eastAsia="Times New Roman" w:cs="Times New Roman"/>
                <w:b/>
                <w:bCs/>
                <w:i/>
                <w:iCs/>
                <w:kern w:val="0"/>
                <w:szCs w:val="24"/>
                <w:lang w:eastAsia="pl-PL"/>
                <w14:ligatures w14:val="none"/>
              </w:rPr>
            </w:pPr>
            <w:r w:rsidRPr="0028337D">
              <w:rPr>
                <w:rFonts w:eastAsia="Times New Roman" w:cs="Times New Roman"/>
                <w:b/>
                <w:bCs/>
                <w:i/>
                <w:iCs/>
                <w:kern w:val="0"/>
                <w:szCs w:val="24"/>
                <w:lang w:eastAsia="pl-PL"/>
                <w14:ligatures w14:val="none"/>
              </w:rPr>
              <w:t>Innowacyjność</w:t>
            </w:r>
          </w:p>
          <w:p w14:paraId="1484ABDD" w14:textId="77777777" w:rsidR="00B544F7" w:rsidRPr="0028337D" w:rsidRDefault="00B544F7" w:rsidP="00B544F7">
            <w:pPr>
              <w:pStyle w:val="Akapitzlist"/>
              <w:numPr>
                <w:ilvl w:val="0"/>
                <w:numId w:val="7"/>
              </w:numPr>
              <w:spacing w:before="0"/>
              <w:ind w:left="170" w:hanging="170"/>
              <w:rPr>
                <w:rFonts w:cs="Times New Roman"/>
                <w:szCs w:val="24"/>
                <w:lang w:eastAsia="pl-PL"/>
              </w:rPr>
            </w:pPr>
            <w:r w:rsidRPr="0028337D">
              <w:rPr>
                <w:rFonts w:cs="Times New Roman"/>
                <w:b/>
                <w:bCs/>
                <w:szCs w:val="24"/>
                <w:lang w:eastAsia="pl-PL"/>
              </w:rPr>
              <w:t>2 pkt</w:t>
            </w:r>
            <w:r w:rsidRPr="0028337D">
              <w:rPr>
                <w:rFonts w:cs="Times New Roman"/>
                <w:szCs w:val="24"/>
                <w:lang w:eastAsia="pl-PL"/>
              </w:rPr>
              <w:t xml:space="preserve"> – operacja zawiera rozwiązania innowacyjne</w:t>
            </w:r>
          </w:p>
          <w:p w14:paraId="40C1F28F" w14:textId="77777777" w:rsidR="00B544F7" w:rsidRPr="0028337D" w:rsidRDefault="00B544F7" w:rsidP="00B544F7">
            <w:pPr>
              <w:pStyle w:val="Akapitzlist"/>
              <w:numPr>
                <w:ilvl w:val="0"/>
                <w:numId w:val="7"/>
              </w:numPr>
              <w:spacing w:before="0"/>
              <w:ind w:left="170" w:hanging="170"/>
              <w:rPr>
                <w:rFonts w:cs="Times New Roman"/>
                <w:szCs w:val="24"/>
                <w:lang w:eastAsia="pl-PL"/>
              </w:rPr>
            </w:pPr>
            <w:r w:rsidRPr="0028337D">
              <w:rPr>
                <w:rFonts w:cs="Times New Roman"/>
                <w:b/>
                <w:bCs/>
                <w:szCs w:val="24"/>
                <w:lang w:eastAsia="pl-PL"/>
              </w:rPr>
              <w:t>0 pkt</w:t>
            </w:r>
            <w:r w:rsidRPr="0028337D">
              <w:rPr>
                <w:rFonts w:cs="Times New Roman"/>
                <w:szCs w:val="24"/>
                <w:lang w:eastAsia="pl-PL"/>
              </w:rPr>
              <w:t xml:space="preserve"> – operacja nie zawiera rozwiązań innowacyjnych  </w:t>
            </w:r>
          </w:p>
        </w:tc>
        <w:tc>
          <w:tcPr>
            <w:tcW w:w="6095" w:type="dxa"/>
          </w:tcPr>
          <w:p w14:paraId="4A52A2CA" w14:textId="034CC4F5" w:rsidR="00B544F7" w:rsidRDefault="00B544F7" w:rsidP="00B544F7">
            <w:pPr>
              <w:pStyle w:val="TableParagraph"/>
              <w:ind w:left="117" w:right="104"/>
              <w:jc w:val="center"/>
              <w:rPr>
                <w:sz w:val="24"/>
              </w:rPr>
            </w:pPr>
            <w:r w:rsidRPr="00E744B6">
              <w:rPr>
                <w:sz w:val="24"/>
              </w:rPr>
              <w:t xml:space="preserve">Oceniane będzie nowatorstwo w odniesieniu do obszaru LGD. Preferowane będą operacje, które wpisują się w innowacyjne podejście określone w LSR, tj. wykorzystujące niepraktykowane do tej pory rozwiązania, nowatorskie i o wyższym standardzie, dotyczące nowego sposobu wykorzystania lub zmobilizowania istniejących lokalnych zasobów przyrodniczych, historycznych czy społecznych, zaspokojenia potrzeb, które były pomijane w dotychczasowych działaniach, rozwój nowych funkcji obszaru, nowy sposób angażowania społeczności lokalnej w rozwój (udowodnienie innowacyjności spoczywać </w:t>
            </w:r>
            <w:r w:rsidRPr="00E744B6">
              <w:rPr>
                <w:sz w:val="24"/>
              </w:rPr>
              <w:lastRenderedPageBreak/>
              <w:t>będzie na Wnioskodawcy).</w:t>
            </w:r>
          </w:p>
          <w:p w14:paraId="5F3C0655" w14:textId="77777777" w:rsidR="00B544F7" w:rsidRDefault="00B544F7" w:rsidP="00B544F7">
            <w:pPr>
              <w:pStyle w:val="TableParagraph"/>
              <w:ind w:left="7"/>
              <w:jc w:val="center"/>
              <w:rPr>
                <w:b/>
                <w:sz w:val="24"/>
              </w:rPr>
            </w:pPr>
            <w:r>
              <w:rPr>
                <w:b/>
                <w:sz w:val="24"/>
              </w:rPr>
              <w:t>Kryterium</w:t>
            </w:r>
            <w:r>
              <w:rPr>
                <w:b/>
                <w:spacing w:val="-5"/>
                <w:sz w:val="24"/>
              </w:rPr>
              <w:t xml:space="preserve"> </w:t>
            </w:r>
            <w:r>
              <w:rPr>
                <w:b/>
                <w:spacing w:val="-2"/>
                <w:sz w:val="24"/>
              </w:rPr>
              <w:t>mierzalne.</w:t>
            </w:r>
          </w:p>
          <w:p w14:paraId="1CCBDAC0" w14:textId="77777777" w:rsidR="00B544F7" w:rsidRPr="00E744B6" w:rsidRDefault="00B544F7" w:rsidP="00B544F7">
            <w:pPr>
              <w:pStyle w:val="TableParagraph"/>
              <w:spacing w:line="270" w:lineRule="atLeast"/>
              <w:ind w:left="118" w:right="104"/>
              <w:jc w:val="center"/>
              <w:rPr>
                <w:sz w:val="24"/>
              </w:rPr>
            </w:pPr>
            <w:r w:rsidRPr="00E744B6">
              <w:rPr>
                <w:sz w:val="24"/>
              </w:rPr>
              <w:t xml:space="preserve">Źródło danych: Informacje zawarte we wniosku </w:t>
            </w:r>
          </w:p>
          <w:p w14:paraId="5393B27E" w14:textId="77777777" w:rsidR="00B544F7" w:rsidRPr="00E744B6" w:rsidRDefault="00B544F7" w:rsidP="00B544F7">
            <w:pPr>
              <w:pStyle w:val="TableParagraph"/>
              <w:spacing w:line="270" w:lineRule="atLeast"/>
              <w:ind w:left="118" w:right="104"/>
              <w:jc w:val="center"/>
              <w:rPr>
                <w:sz w:val="24"/>
              </w:rPr>
            </w:pPr>
            <w:r w:rsidRPr="00E744B6">
              <w:rPr>
                <w:sz w:val="24"/>
              </w:rPr>
              <w:t>o dofinansowanie, dodatkowo deklaracja Wnioskodawcy jednoznacznie wskazująca następujące elementy oceny (jeżeli dotyczy):</w:t>
            </w:r>
          </w:p>
          <w:p w14:paraId="2523EECF" w14:textId="5B02045C" w:rsidR="00B544F7" w:rsidRPr="00E744B6" w:rsidRDefault="00B544F7" w:rsidP="00B544F7">
            <w:pPr>
              <w:pStyle w:val="TableParagraph"/>
              <w:spacing w:line="270" w:lineRule="atLeast"/>
              <w:ind w:left="118" w:right="104"/>
              <w:rPr>
                <w:sz w:val="24"/>
              </w:rPr>
            </w:pPr>
            <w:r w:rsidRPr="00E744B6">
              <w:rPr>
                <w:sz w:val="24"/>
              </w:rPr>
              <w:t>- Stopień innowacyjności: Jakie konkretne nowe rozwiązania są wprowadzane w projekcie? Czy są one znacząco odmienne od obecnie stosowanych metod na danym obszarze?</w:t>
            </w:r>
          </w:p>
          <w:p w14:paraId="3CF909D8" w14:textId="776E1F0D" w:rsidR="00B544F7" w:rsidRPr="00E744B6" w:rsidRDefault="00B544F7" w:rsidP="00B544F7">
            <w:pPr>
              <w:pStyle w:val="TableParagraph"/>
              <w:spacing w:line="270" w:lineRule="atLeast"/>
              <w:ind w:left="118" w:right="104"/>
              <w:rPr>
                <w:sz w:val="24"/>
              </w:rPr>
            </w:pPr>
            <w:r w:rsidRPr="00E744B6">
              <w:rPr>
                <w:sz w:val="24"/>
              </w:rPr>
              <w:t>- Zastosowanie technologii: W jaki sposób nowoczesne technologie są włączone w realizację projektu i jaki mają wpływ na jego efektywność?</w:t>
            </w:r>
          </w:p>
          <w:p w14:paraId="01EFCC5B" w14:textId="4C55938E" w:rsidR="00B544F7" w:rsidRPr="0028337D" w:rsidRDefault="00B544F7" w:rsidP="00B544F7">
            <w:pPr>
              <w:spacing w:before="0" w:after="0"/>
              <w:rPr>
                <w:rFonts w:cs="Times New Roman"/>
                <w:szCs w:val="24"/>
              </w:rPr>
            </w:pPr>
            <w:r>
              <w:t xml:space="preserve">- </w:t>
            </w:r>
            <w:r w:rsidRPr="00E744B6">
              <w:t>Weryfikowalność innowacji: Czy proponowane innowacje można obiektywnie ocenić i zweryfikować ich efektywność w kontekście projektu.</w:t>
            </w:r>
          </w:p>
        </w:tc>
        <w:tc>
          <w:tcPr>
            <w:tcW w:w="1175" w:type="dxa"/>
            <w:gridSpan w:val="2"/>
            <w:vAlign w:val="center"/>
          </w:tcPr>
          <w:p w14:paraId="677F639F" w14:textId="77777777" w:rsidR="00B544F7" w:rsidRPr="0028337D" w:rsidRDefault="00B544F7" w:rsidP="00B544F7">
            <w:pPr>
              <w:spacing w:before="0"/>
              <w:jc w:val="center"/>
              <w:rPr>
                <w:rFonts w:cs="Times New Roman"/>
                <w:b/>
                <w:bCs/>
                <w:szCs w:val="24"/>
              </w:rPr>
            </w:pPr>
            <w:r w:rsidRPr="0028337D">
              <w:rPr>
                <w:rFonts w:cs="Times New Roman"/>
                <w:b/>
                <w:bCs/>
                <w:szCs w:val="24"/>
              </w:rPr>
              <w:lastRenderedPageBreak/>
              <w:t>2</w:t>
            </w:r>
          </w:p>
        </w:tc>
        <w:tc>
          <w:tcPr>
            <w:tcW w:w="3077" w:type="dxa"/>
            <w:vAlign w:val="center"/>
          </w:tcPr>
          <w:p w14:paraId="18EF6634" w14:textId="77777777" w:rsidR="00B544F7" w:rsidRPr="0028337D" w:rsidRDefault="00B544F7" w:rsidP="00B544F7">
            <w:pPr>
              <w:spacing w:before="0"/>
              <w:jc w:val="center"/>
              <w:rPr>
                <w:rFonts w:cs="Times New Roman"/>
                <w:b/>
                <w:bCs/>
                <w:szCs w:val="24"/>
              </w:rPr>
            </w:pPr>
          </w:p>
        </w:tc>
      </w:tr>
      <w:tr w:rsidR="0074345A" w:rsidRPr="0028337D" w14:paraId="75B9DCF1" w14:textId="77777777" w:rsidTr="007636B3">
        <w:tc>
          <w:tcPr>
            <w:tcW w:w="836" w:type="dxa"/>
            <w:shd w:val="clear" w:color="auto" w:fill="auto"/>
            <w:vAlign w:val="center"/>
          </w:tcPr>
          <w:p w14:paraId="6B7F818C" w14:textId="77777777" w:rsidR="0074345A" w:rsidRPr="0028337D" w:rsidRDefault="0074345A" w:rsidP="007C2BBB">
            <w:pPr>
              <w:pStyle w:val="Akapitzlist"/>
              <w:numPr>
                <w:ilvl w:val="0"/>
                <w:numId w:val="13"/>
              </w:numPr>
              <w:spacing w:before="0" w:after="0"/>
              <w:jc w:val="center"/>
              <w:rPr>
                <w:rFonts w:cs="Times New Roman"/>
                <w:b/>
                <w:bCs/>
                <w:szCs w:val="24"/>
              </w:rPr>
            </w:pPr>
          </w:p>
        </w:tc>
        <w:tc>
          <w:tcPr>
            <w:tcW w:w="3559" w:type="dxa"/>
            <w:shd w:val="clear" w:color="auto" w:fill="auto"/>
            <w:vAlign w:val="center"/>
          </w:tcPr>
          <w:p w14:paraId="1599C5B5" w14:textId="77777777" w:rsidR="0074345A" w:rsidRPr="0028337D" w:rsidRDefault="0074345A" w:rsidP="007C2BBB">
            <w:pPr>
              <w:autoSpaceDE w:val="0"/>
              <w:autoSpaceDN w:val="0"/>
              <w:adjustRightInd w:val="0"/>
              <w:spacing w:after="0"/>
              <w:jc w:val="center"/>
              <w:rPr>
                <w:rFonts w:cs="Times New Roman"/>
                <w:b/>
                <w:bCs/>
                <w:i/>
                <w:iCs/>
              </w:rPr>
            </w:pPr>
            <w:r w:rsidRPr="0028337D">
              <w:rPr>
                <w:rFonts w:cs="Times New Roman"/>
                <w:b/>
                <w:bCs/>
                <w:i/>
                <w:iCs/>
              </w:rPr>
              <w:t>Partnerstwo w projekcie</w:t>
            </w:r>
          </w:p>
          <w:p w14:paraId="47426F52" w14:textId="77777777" w:rsidR="0074345A" w:rsidRDefault="0074345A" w:rsidP="007C2BBB">
            <w:pPr>
              <w:pStyle w:val="Akapitzlist"/>
              <w:numPr>
                <w:ilvl w:val="0"/>
                <w:numId w:val="6"/>
              </w:numPr>
              <w:autoSpaceDE w:val="0"/>
              <w:autoSpaceDN w:val="0"/>
              <w:adjustRightInd w:val="0"/>
              <w:spacing w:before="0" w:after="0"/>
              <w:ind w:left="325" w:hanging="273"/>
              <w:rPr>
                <w:rFonts w:cs="Times New Roman"/>
                <w:b/>
                <w:bCs/>
              </w:rPr>
            </w:pPr>
            <w:r w:rsidRPr="0028337D">
              <w:rPr>
                <w:rFonts w:cs="Times New Roman"/>
                <w:b/>
                <w:bCs/>
              </w:rPr>
              <w:t xml:space="preserve">2 pkt – </w:t>
            </w:r>
            <w:r w:rsidRPr="0028337D">
              <w:rPr>
                <w:rFonts w:cs="Times New Roman"/>
              </w:rPr>
              <w:t>operacja realizowana będzie w partnerstwie</w:t>
            </w:r>
            <w:r w:rsidRPr="0028337D">
              <w:rPr>
                <w:rFonts w:cs="Times New Roman"/>
                <w:b/>
                <w:bCs/>
              </w:rPr>
              <w:t xml:space="preserve"> </w:t>
            </w:r>
          </w:p>
          <w:p w14:paraId="5AB569F7" w14:textId="77777777" w:rsidR="0074345A" w:rsidRPr="0028337D" w:rsidRDefault="0074345A" w:rsidP="007C2BBB">
            <w:pPr>
              <w:pStyle w:val="Akapitzlist"/>
              <w:numPr>
                <w:ilvl w:val="0"/>
                <w:numId w:val="6"/>
              </w:numPr>
              <w:autoSpaceDE w:val="0"/>
              <w:autoSpaceDN w:val="0"/>
              <w:adjustRightInd w:val="0"/>
              <w:spacing w:before="0" w:after="0"/>
              <w:ind w:left="325" w:hanging="273"/>
              <w:rPr>
                <w:rFonts w:cs="Times New Roman"/>
                <w:b/>
                <w:bCs/>
              </w:rPr>
            </w:pPr>
            <w:r w:rsidRPr="0028337D">
              <w:rPr>
                <w:rFonts w:cs="Times New Roman"/>
                <w:b/>
                <w:bCs/>
              </w:rPr>
              <w:t xml:space="preserve">0 pkt - </w:t>
            </w:r>
            <w:r w:rsidRPr="0028337D">
              <w:rPr>
                <w:rFonts w:cs="Times New Roman"/>
              </w:rPr>
              <w:t>operacja nie będzie realizowana w partnerstwie</w:t>
            </w:r>
          </w:p>
        </w:tc>
        <w:tc>
          <w:tcPr>
            <w:tcW w:w="6095" w:type="dxa"/>
            <w:shd w:val="clear" w:color="auto" w:fill="auto"/>
            <w:vAlign w:val="center"/>
          </w:tcPr>
          <w:p w14:paraId="7CAF0603" w14:textId="77777777" w:rsidR="0074345A" w:rsidRPr="0028337D" w:rsidRDefault="0074345A" w:rsidP="007C2BBB">
            <w:pPr>
              <w:pStyle w:val="Default"/>
              <w:jc w:val="center"/>
              <w:rPr>
                <w:rFonts w:ascii="Times New Roman" w:hAnsi="Times New Roman" w:cs="Times New Roman"/>
                <w:color w:val="auto"/>
              </w:rPr>
            </w:pPr>
            <w:r w:rsidRPr="0028337D">
              <w:rPr>
                <w:rFonts w:ascii="Times New Roman" w:hAnsi="Times New Roman" w:cs="Times New Roman"/>
                <w:color w:val="auto"/>
              </w:rPr>
              <w:t xml:space="preserve">Kryterium premiuje operacje realizowane </w:t>
            </w:r>
            <w:r w:rsidRPr="0028337D">
              <w:rPr>
                <w:rFonts w:ascii="Times New Roman" w:hAnsi="Times New Roman" w:cs="Times New Roman"/>
                <w:color w:val="auto"/>
              </w:rPr>
              <w:br/>
              <w:t xml:space="preserve">w partnerstwie poprzez nawiązanie współpracy </w:t>
            </w:r>
            <w:r w:rsidRPr="0028337D">
              <w:rPr>
                <w:rFonts w:ascii="Times New Roman" w:hAnsi="Times New Roman" w:cs="Times New Roman"/>
                <w:color w:val="auto"/>
              </w:rPr>
              <w:br/>
              <w:t>z organizacją społeczną lub innym podmiotem</w:t>
            </w:r>
          </w:p>
          <w:p w14:paraId="6186A6C3" w14:textId="6B7E4425" w:rsidR="0074345A" w:rsidRPr="0028337D" w:rsidRDefault="0074345A" w:rsidP="007C2BBB">
            <w:pPr>
              <w:pStyle w:val="Default"/>
              <w:jc w:val="center"/>
              <w:rPr>
                <w:rFonts w:ascii="Times New Roman" w:hAnsi="Times New Roman" w:cs="Times New Roman"/>
                <w:color w:val="auto"/>
              </w:rPr>
            </w:pPr>
            <w:r w:rsidRPr="0028337D">
              <w:rPr>
                <w:rFonts w:ascii="Times New Roman" w:hAnsi="Times New Roman" w:cs="Times New Roman"/>
                <w:color w:val="auto"/>
              </w:rPr>
              <w:t xml:space="preserve">mogącym wnieść istotny wkład w podniesienie skuteczności działań realizowanych w ramach projektu. Większa liczba partnerów zaangażowanych w realizację operacji pozytywnie wpływa na jej jakość. </w:t>
            </w:r>
          </w:p>
          <w:p w14:paraId="05B8627B" w14:textId="77777777" w:rsidR="0074345A" w:rsidRPr="0028337D" w:rsidRDefault="0074345A" w:rsidP="007C2BBB">
            <w:pPr>
              <w:spacing w:before="0" w:after="0"/>
              <w:jc w:val="center"/>
              <w:rPr>
                <w:rFonts w:cs="Times New Roman"/>
                <w:b/>
                <w:bCs/>
              </w:rPr>
            </w:pPr>
            <w:r w:rsidRPr="0028337D">
              <w:rPr>
                <w:rFonts w:cs="Times New Roman"/>
                <w:b/>
                <w:bCs/>
              </w:rPr>
              <w:t>Kryterium mierzalne.</w:t>
            </w:r>
          </w:p>
          <w:p w14:paraId="5164D8DE" w14:textId="75516173" w:rsidR="0074345A" w:rsidRPr="0028337D" w:rsidRDefault="0074345A" w:rsidP="00B544F7">
            <w:pPr>
              <w:spacing w:before="0" w:after="0"/>
              <w:jc w:val="center"/>
              <w:rPr>
                <w:rFonts w:cs="Times New Roman"/>
              </w:rPr>
            </w:pPr>
            <w:r w:rsidRPr="0028337D">
              <w:rPr>
                <w:rFonts w:cs="Times New Roman"/>
              </w:rPr>
              <w:t xml:space="preserve">Źródło danych: Wniosek o </w:t>
            </w:r>
            <w:r w:rsidR="00B544F7">
              <w:rPr>
                <w:rFonts w:cs="Times New Roman"/>
              </w:rPr>
              <w:t>dofinansowanie</w:t>
            </w:r>
          </w:p>
        </w:tc>
        <w:tc>
          <w:tcPr>
            <w:tcW w:w="1175" w:type="dxa"/>
            <w:gridSpan w:val="2"/>
            <w:shd w:val="clear" w:color="auto" w:fill="auto"/>
            <w:vAlign w:val="center"/>
          </w:tcPr>
          <w:p w14:paraId="24E093DE" w14:textId="77777777" w:rsidR="0074345A" w:rsidRPr="0028337D" w:rsidRDefault="0074345A" w:rsidP="007C2BBB">
            <w:pPr>
              <w:spacing w:before="0" w:after="0"/>
              <w:jc w:val="center"/>
              <w:rPr>
                <w:rFonts w:cs="Times New Roman"/>
                <w:b/>
                <w:bCs/>
                <w:szCs w:val="24"/>
              </w:rPr>
            </w:pPr>
            <w:r w:rsidRPr="0028337D">
              <w:rPr>
                <w:rFonts w:cs="Times New Roman"/>
                <w:b/>
                <w:bCs/>
                <w:szCs w:val="24"/>
              </w:rPr>
              <w:t>2</w:t>
            </w:r>
          </w:p>
        </w:tc>
        <w:tc>
          <w:tcPr>
            <w:tcW w:w="3077" w:type="dxa"/>
            <w:shd w:val="clear" w:color="auto" w:fill="auto"/>
            <w:vAlign w:val="center"/>
          </w:tcPr>
          <w:p w14:paraId="3DE783D8" w14:textId="77777777" w:rsidR="0074345A" w:rsidRPr="0028337D" w:rsidRDefault="0074345A" w:rsidP="007C2BBB">
            <w:pPr>
              <w:spacing w:before="0" w:after="0"/>
              <w:jc w:val="center"/>
              <w:rPr>
                <w:rFonts w:cs="Times New Roman"/>
                <w:b/>
                <w:bCs/>
                <w:szCs w:val="24"/>
              </w:rPr>
            </w:pPr>
          </w:p>
        </w:tc>
      </w:tr>
      <w:tr w:rsidR="0074345A" w:rsidRPr="0028337D" w14:paraId="6DD51A68" w14:textId="77777777" w:rsidTr="007636B3">
        <w:tc>
          <w:tcPr>
            <w:tcW w:w="836" w:type="dxa"/>
            <w:shd w:val="clear" w:color="auto" w:fill="auto"/>
            <w:vAlign w:val="center"/>
          </w:tcPr>
          <w:p w14:paraId="765E03D5" w14:textId="77777777" w:rsidR="0074345A" w:rsidRPr="0028337D" w:rsidRDefault="0074345A" w:rsidP="007C2BBB">
            <w:pPr>
              <w:pStyle w:val="Akapitzlist"/>
              <w:numPr>
                <w:ilvl w:val="0"/>
                <w:numId w:val="13"/>
              </w:numPr>
              <w:spacing w:before="0" w:after="0"/>
              <w:jc w:val="center"/>
              <w:rPr>
                <w:rFonts w:cs="Times New Roman"/>
                <w:b/>
                <w:bCs/>
                <w:szCs w:val="24"/>
              </w:rPr>
            </w:pPr>
          </w:p>
        </w:tc>
        <w:tc>
          <w:tcPr>
            <w:tcW w:w="3559" w:type="dxa"/>
            <w:shd w:val="clear" w:color="auto" w:fill="auto"/>
            <w:vAlign w:val="center"/>
          </w:tcPr>
          <w:p w14:paraId="4301DA79" w14:textId="77777777" w:rsidR="00B544F7" w:rsidRDefault="00B544F7" w:rsidP="00B544F7">
            <w:pPr>
              <w:autoSpaceDE w:val="0"/>
              <w:autoSpaceDN w:val="0"/>
              <w:adjustRightInd w:val="0"/>
              <w:spacing w:after="0"/>
              <w:jc w:val="center"/>
              <w:rPr>
                <w:rFonts w:cs="Times New Roman"/>
                <w:b/>
                <w:bCs/>
                <w:i/>
                <w:iCs/>
              </w:rPr>
            </w:pPr>
            <w:r w:rsidRPr="00B544F7">
              <w:rPr>
                <w:rFonts w:cs="Times New Roman"/>
                <w:b/>
                <w:bCs/>
                <w:i/>
                <w:iCs/>
              </w:rPr>
              <w:t>Operacja zakłada organizację działań wspierających proces włączenia społecznego z udziałem przedstawicieli: osób starszych (powyżej 60 r. ż.), ludzi młodych do 25 r.ż., osób w niekorzystnej sytuacji tj. kobiet</w:t>
            </w:r>
          </w:p>
          <w:p w14:paraId="3722051F" w14:textId="69A39116" w:rsidR="0074345A" w:rsidRPr="00B544F7" w:rsidRDefault="0074345A" w:rsidP="00B544F7">
            <w:pPr>
              <w:autoSpaceDE w:val="0"/>
              <w:autoSpaceDN w:val="0"/>
              <w:adjustRightInd w:val="0"/>
              <w:spacing w:after="0"/>
              <w:jc w:val="center"/>
              <w:rPr>
                <w:rFonts w:cs="Times New Roman"/>
                <w:b/>
                <w:bCs/>
                <w:i/>
                <w:iCs/>
              </w:rPr>
            </w:pPr>
            <w:r w:rsidRPr="0028337D">
              <w:rPr>
                <w:rFonts w:cs="Times New Roman"/>
              </w:rPr>
              <w:lastRenderedPageBreak/>
              <w:t>Operacja adresowana dla przedstawicieli:</w:t>
            </w:r>
          </w:p>
          <w:p w14:paraId="2F2B5439" w14:textId="77777777" w:rsidR="0074345A" w:rsidRDefault="0074345A" w:rsidP="0074345A">
            <w:pPr>
              <w:pStyle w:val="Akapitzlist"/>
              <w:numPr>
                <w:ilvl w:val="0"/>
                <w:numId w:val="18"/>
              </w:numPr>
              <w:autoSpaceDE w:val="0"/>
              <w:autoSpaceDN w:val="0"/>
              <w:adjustRightInd w:val="0"/>
              <w:spacing w:before="0" w:after="0"/>
              <w:ind w:left="325" w:hanging="273"/>
              <w:rPr>
                <w:rFonts w:cs="Times New Roman"/>
                <w:b/>
                <w:bCs/>
              </w:rPr>
            </w:pPr>
            <w:r w:rsidRPr="0028337D">
              <w:rPr>
                <w:rFonts w:cs="Times New Roman"/>
                <w:b/>
                <w:bCs/>
              </w:rPr>
              <w:t xml:space="preserve">3 pkt - </w:t>
            </w:r>
            <w:r w:rsidRPr="0028337D">
              <w:rPr>
                <w:rFonts w:cs="Times New Roman"/>
              </w:rPr>
              <w:t>trzech z ww. grup</w:t>
            </w:r>
            <w:r w:rsidRPr="0028337D">
              <w:rPr>
                <w:rFonts w:cs="Times New Roman"/>
                <w:b/>
                <w:bCs/>
              </w:rPr>
              <w:t xml:space="preserve"> </w:t>
            </w:r>
          </w:p>
          <w:p w14:paraId="2C4AE001" w14:textId="77777777" w:rsidR="0074345A" w:rsidRDefault="0074345A" w:rsidP="0074345A">
            <w:pPr>
              <w:pStyle w:val="Akapitzlist"/>
              <w:numPr>
                <w:ilvl w:val="0"/>
                <w:numId w:val="18"/>
              </w:numPr>
              <w:autoSpaceDE w:val="0"/>
              <w:autoSpaceDN w:val="0"/>
              <w:adjustRightInd w:val="0"/>
              <w:spacing w:before="0" w:after="0"/>
              <w:ind w:left="325" w:hanging="273"/>
              <w:rPr>
                <w:rFonts w:cs="Times New Roman"/>
                <w:b/>
                <w:bCs/>
              </w:rPr>
            </w:pPr>
            <w:r w:rsidRPr="0028337D">
              <w:rPr>
                <w:rFonts w:cs="Times New Roman"/>
                <w:b/>
                <w:bCs/>
              </w:rPr>
              <w:t xml:space="preserve">2 pkt - </w:t>
            </w:r>
            <w:r w:rsidRPr="0028337D">
              <w:rPr>
                <w:rFonts w:cs="Times New Roman"/>
              </w:rPr>
              <w:t>dwóch z ww. grup</w:t>
            </w:r>
            <w:r w:rsidRPr="0028337D">
              <w:rPr>
                <w:rFonts w:cs="Times New Roman"/>
                <w:b/>
                <w:bCs/>
              </w:rPr>
              <w:t xml:space="preserve"> </w:t>
            </w:r>
          </w:p>
          <w:p w14:paraId="4F806346" w14:textId="77777777" w:rsidR="0074345A" w:rsidRPr="0028337D" w:rsidRDefault="0074345A" w:rsidP="0074345A">
            <w:pPr>
              <w:pStyle w:val="Akapitzlist"/>
              <w:numPr>
                <w:ilvl w:val="0"/>
                <w:numId w:val="18"/>
              </w:numPr>
              <w:autoSpaceDE w:val="0"/>
              <w:autoSpaceDN w:val="0"/>
              <w:adjustRightInd w:val="0"/>
              <w:spacing w:before="0" w:after="0"/>
              <w:ind w:left="325" w:hanging="273"/>
              <w:rPr>
                <w:rFonts w:cs="Times New Roman"/>
                <w:b/>
                <w:bCs/>
              </w:rPr>
            </w:pPr>
            <w:r w:rsidRPr="0028337D">
              <w:rPr>
                <w:rFonts w:cs="Times New Roman"/>
                <w:b/>
                <w:bCs/>
              </w:rPr>
              <w:t xml:space="preserve">1 pkt - </w:t>
            </w:r>
            <w:r w:rsidRPr="0028337D">
              <w:rPr>
                <w:rFonts w:cs="Times New Roman"/>
              </w:rPr>
              <w:t xml:space="preserve">jednej z ww. grupy </w:t>
            </w:r>
          </w:p>
        </w:tc>
        <w:tc>
          <w:tcPr>
            <w:tcW w:w="6095" w:type="dxa"/>
            <w:shd w:val="clear" w:color="auto" w:fill="auto"/>
            <w:vAlign w:val="center"/>
          </w:tcPr>
          <w:p w14:paraId="5C4DAC61" w14:textId="332C9425" w:rsidR="00B544F7" w:rsidRPr="00B544F7" w:rsidRDefault="00B544F7" w:rsidP="00B544F7">
            <w:pPr>
              <w:spacing w:before="0" w:after="0"/>
              <w:jc w:val="center"/>
              <w:rPr>
                <w:rFonts w:cs="Times New Roman"/>
              </w:rPr>
            </w:pPr>
            <w:r w:rsidRPr="00B544F7">
              <w:rPr>
                <w:rFonts w:cs="Times New Roman"/>
              </w:rPr>
              <w:lastRenderedPageBreak/>
              <w:t xml:space="preserve">Lokalna Strategia Rozwoju zakłada promowanie projektów wpisujących się w inicjatywę Nowy Europejski Bauhaus (NEB), w tym premiowanie projektów uwzględniających podstawowe wartości NEB tj. m.in. włączenie społeczne. W związku z powyższym preferuje się operacje, które wspierają proces włączenia społecznego i zakładają udział przedstawicieli z więcej niż jednej kluczowej grupy </w:t>
            </w:r>
            <w:r w:rsidRPr="00B544F7">
              <w:rPr>
                <w:rFonts w:cs="Times New Roman"/>
              </w:rPr>
              <w:lastRenderedPageBreak/>
              <w:t>docelowej wskazanej w LSR dla tego przedsięwzięcia tj. osób starszych (powyżej 60 r.ż.), ludzi młodych do 25 r.ż., oraz osób w niekorzystnej sytuacji tj. kobiet</w:t>
            </w:r>
            <w:r w:rsidR="007636B3">
              <w:rPr>
                <w:rFonts w:cs="Times New Roman"/>
              </w:rPr>
              <w:t>.</w:t>
            </w:r>
          </w:p>
          <w:p w14:paraId="2ADAF6C2" w14:textId="77777777" w:rsidR="00B544F7" w:rsidRPr="00B544F7" w:rsidRDefault="00B544F7" w:rsidP="00B544F7">
            <w:pPr>
              <w:spacing w:before="0" w:after="0"/>
              <w:jc w:val="center"/>
              <w:rPr>
                <w:rFonts w:cs="Times New Roman"/>
                <w:b/>
                <w:bCs/>
              </w:rPr>
            </w:pPr>
            <w:r w:rsidRPr="00B544F7">
              <w:rPr>
                <w:rFonts w:cs="Times New Roman"/>
                <w:b/>
                <w:bCs/>
              </w:rPr>
              <w:t>Kryterium mierzalne.</w:t>
            </w:r>
          </w:p>
          <w:p w14:paraId="3F1A435B" w14:textId="2D392B12" w:rsidR="0074345A" w:rsidRPr="0028337D" w:rsidRDefault="00B544F7" w:rsidP="00B544F7">
            <w:pPr>
              <w:spacing w:before="0" w:after="0"/>
              <w:jc w:val="center"/>
              <w:rPr>
                <w:rFonts w:cs="Times New Roman"/>
                <w:szCs w:val="24"/>
              </w:rPr>
            </w:pPr>
            <w:r w:rsidRPr="00B544F7">
              <w:rPr>
                <w:rFonts w:cs="Times New Roman"/>
              </w:rPr>
              <w:t>Źródło danych: Wniosek o dofinansowanie</w:t>
            </w:r>
            <w:r w:rsidR="0074345A" w:rsidRPr="0028337D">
              <w:rPr>
                <w:rFonts w:cs="Times New Roman"/>
                <w:szCs w:val="24"/>
              </w:rPr>
              <w:t>.</w:t>
            </w:r>
          </w:p>
        </w:tc>
        <w:tc>
          <w:tcPr>
            <w:tcW w:w="1175" w:type="dxa"/>
            <w:gridSpan w:val="2"/>
            <w:shd w:val="clear" w:color="auto" w:fill="auto"/>
            <w:vAlign w:val="center"/>
          </w:tcPr>
          <w:p w14:paraId="6D96CC41" w14:textId="77777777" w:rsidR="0074345A" w:rsidRPr="0028337D" w:rsidRDefault="0074345A" w:rsidP="007C2BBB">
            <w:pPr>
              <w:spacing w:before="0" w:after="0"/>
              <w:jc w:val="center"/>
              <w:rPr>
                <w:rFonts w:cs="Times New Roman"/>
                <w:b/>
                <w:bCs/>
                <w:szCs w:val="24"/>
              </w:rPr>
            </w:pPr>
            <w:r w:rsidRPr="0028337D">
              <w:rPr>
                <w:rFonts w:cs="Times New Roman"/>
                <w:b/>
                <w:bCs/>
                <w:szCs w:val="24"/>
              </w:rPr>
              <w:lastRenderedPageBreak/>
              <w:t>3</w:t>
            </w:r>
          </w:p>
        </w:tc>
        <w:tc>
          <w:tcPr>
            <w:tcW w:w="3077" w:type="dxa"/>
            <w:shd w:val="clear" w:color="auto" w:fill="auto"/>
            <w:vAlign w:val="center"/>
          </w:tcPr>
          <w:p w14:paraId="623D899C" w14:textId="77777777" w:rsidR="0074345A" w:rsidRPr="0028337D" w:rsidRDefault="0074345A" w:rsidP="007C2BBB">
            <w:pPr>
              <w:spacing w:before="0" w:after="0"/>
              <w:jc w:val="center"/>
              <w:rPr>
                <w:rFonts w:cs="Times New Roman"/>
                <w:b/>
                <w:bCs/>
                <w:szCs w:val="24"/>
              </w:rPr>
            </w:pPr>
          </w:p>
        </w:tc>
      </w:tr>
      <w:tr w:rsidR="0074345A" w:rsidRPr="0028337D" w14:paraId="70F9680C" w14:textId="77777777" w:rsidTr="007636B3">
        <w:tc>
          <w:tcPr>
            <w:tcW w:w="836" w:type="dxa"/>
            <w:shd w:val="clear" w:color="auto" w:fill="auto"/>
            <w:vAlign w:val="center"/>
          </w:tcPr>
          <w:p w14:paraId="236307D6" w14:textId="77777777" w:rsidR="0074345A" w:rsidRPr="0028337D" w:rsidRDefault="0074345A" w:rsidP="007C2BBB">
            <w:pPr>
              <w:pStyle w:val="Akapitzlist"/>
              <w:numPr>
                <w:ilvl w:val="0"/>
                <w:numId w:val="13"/>
              </w:numPr>
              <w:spacing w:before="0" w:after="0"/>
              <w:jc w:val="center"/>
              <w:rPr>
                <w:rFonts w:cs="Times New Roman"/>
                <w:b/>
                <w:bCs/>
                <w:szCs w:val="24"/>
              </w:rPr>
            </w:pPr>
          </w:p>
        </w:tc>
        <w:tc>
          <w:tcPr>
            <w:tcW w:w="3559" w:type="dxa"/>
            <w:shd w:val="clear" w:color="auto" w:fill="auto"/>
            <w:vAlign w:val="center"/>
          </w:tcPr>
          <w:p w14:paraId="2930608E" w14:textId="77777777" w:rsidR="0074345A" w:rsidRPr="0028337D" w:rsidRDefault="0074345A" w:rsidP="007C2BBB">
            <w:pPr>
              <w:autoSpaceDE w:val="0"/>
              <w:autoSpaceDN w:val="0"/>
              <w:adjustRightInd w:val="0"/>
              <w:spacing w:after="0"/>
              <w:jc w:val="center"/>
              <w:rPr>
                <w:rFonts w:cs="Times New Roman"/>
                <w:b/>
                <w:bCs/>
                <w:i/>
                <w:iCs/>
              </w:rPr>
            </w:pPr>
            <w:r w:rsidRPr="0028337D">
              <w:rPr>
                <w:rFonts w:cs="Times New Roman"/>
                <w:b/>
                <w:bCs/>
                <w:i/>
                <w:iCs/>
              </w:rPr>
              <w:t xml:space="preserve">Obszary po PGR </w:t>
            </w:r>
          </w:p>
          <w:p w14:paraId="3FF4E9D3" w14:textId="77777777" w:rsidR="0074345A" w:rsidRPr="0028337D" w:rsidRDefault="0074345A" w:rsidP="007C2BBB">
            <w:pPr>
              <w:autoSpaceDE w:val="0"/>
              <w:autoSpaceDN w:val="0"/>
              <w:adjustRightInd w:val="0"/>
              <w:spacing w:after="0"/>
              <w:jc w:val="center"/>
              <w:rPr>
                <w:rFonts w:cs="Times New Roman"/>
                <w:b/>
                <w:bCs/>
              </w:rPr>
            </w:pPr>
            <w:r w:rsidRPr="0028337D">
              <w:rPr>
                <w:rFonts w:cs="Times New Roman"/>
                <w:b/>
                <w:bCs/>
              </w:rPr>
              <w:t>Operacja realizowana jest na obszarze:</w:t>
            </w:r>
          </w:p>
          <w:p w14:paraId="31BB0D02" w14:textId="77777777" w:rsidR="0074345A" w:rsidRDefault="0074345A" w:rsidP="0074345A">
            <w:pPr>
              <w:pStyle w:val="Akapitzlist"/>
              <w:numPr>
                <w:ilvl w:val="0"/>
                <w:numId w:val="19"/>
              </w:numPr>
              <w:autoSpaceDE w:val="0"/>
              <w:autoSpaceDN w:val="0"/>
              <w:adjustRightInd w:val="0"/>
              <w:spacing w:before="0" w:after="0"/>
              <w:ind w:left="325" w:hanging="273"/>
              <w:rPr>
                <w:rFonts w:cs="Times New Roman"/>
              </w:rPr>
            </w:pPr>
            <w:r w:rsidRPr="0028337D">
              <w:rPr>
                <w:rFonts w:cs="Times New Roman"/>
                <w:b/>
                <w:bCs/>
              </w:rPr>
              <w:t xml:space="preserve">2 pkt - </w:t>
            </w:r>
            <w:r w:rsidRPr="0028337D">
              <w:rPr>
                <w:rFonts w:cs="Times New Roman"/>
              </w:rPr>
              <w:t xml:space="preserve"> na którym funkcjonowało Państwowe Gospodarstwo Rolne  </w:t>
            </w:r>
          </w:p>
          <w:p w14:paraId="6FEED8E5" w14:textId="77777777" w:rsidR="0074345A" w:rsidRPr="0028337D" w:rsidRDefault="0074345A" w:rsidP="0074345A">
            <w:pPr>
              <w:pStyle w:val="Akapitzlist"/>
              <w:numPr>
                <w:ilvl w:val="0"/>
                <w:numId w:val="19"/>
              </w:numPr>
              <w:autoSpaceDE w:val="0"/>
              <w:autoSpaceDN w:val="0"/>
              <w:adjustRightInd w:val="0"/>
              <w:spacing w:before="0" w:after="0"/>
              <w:ind w:left="325" w:hanging="273"/>
              <w:rPr>
                <w:rFonts w:cs="Times New Roman"/>
              </w:rPr>
            </w:pPr>
            <w:r w:rsidRPr="0028337D">
              <w:rPr>
                <w:rFonts w:cs="Times New Roman"/>
                <w:b/>
                <w:bCs/>
              </w:rPr>
              <w:t>0 pkt</w:t>
            </w:r>
            <w:r w:rsidRPr="0028337D">
              <w:rPr>
                <w:rFonts w:cs="Times New Roman"/>
              </w:rPr>
              <w:t xml:space="preserve"> - na którym nie funkcjonowało Państwowe Gospodarstwo Rolne</w:t>
            </w:r>
          </w:p>
        </w:tc>
        <w:tc>
          <w:tcPr>
            <w:tcW w:w="6095" w:type="dxa"/>
            <w:shd w:val="clear" w:color="auto" w:fill="auto"/>
            <w:vAlign w:val="center"/>
          </w:tcPr>
          <w:p w14:paraId="3903BADC" w14:textId="77777777" w:rsidR="0074345A" w:rsidRPr="0028337D" w:rsidRDefault="0074345A" w:rsidP="007C2BBB">
            <w:pPr>
              <w:pStyle w:val="Default"/>
              <w:jc w:val="center"/>
              <w:rPr>
                <w:rFonts w:ascii="Times New Roman" w:hAnsi="Times New Roman" w:cs="Times New Roman"/>
                <w:color w:val="auto"/>
              </w:rPr>
            </w:pPr>
            <w:r w:rsidRPr="0028337D">
              <w:rPr>
                <w:rFonts w:ascii="Times New Roman" w:hAnsi="Times New Roman" w:cs="Times New Roman"/>
                <w:color w:val="auto"/>
              </w:rPr>
              <w:t xml:space="preserve">Kryterium premiuje operacje, których realizacja będzie obejmować obszar co najmniej 1 miejscowości, </w:t>
            </w:r>
            <w:r w:rsidRPr="0028337D">
              <w:rPr>
                <w:rFonts w:ascii="Times New Roman" w:hAnsi="Times New Roman" w:cs="Times New Roman"/>
                <w:color w:val="auto"/>
              </w:rPr>
              <w:br/>
              <w:t xml:space="preserve">w której funkcjonowało Państwowe Gospodarstwo Rolne. </w:t>
            </w:r>
          </w:p>
          <w:p w14:paraId="5F245287" w14:textId="77777777" w:rsidR="0074345A" w:rsidRPr="0028337D" w:rsidRDefault="0074345A" w:rsidP="007C2BBB">
            <w:pPr>
              <w:spacing w:before="0" w:after="0"/>
              <w:jc w:val="center"/>
              <w:rPr>
                <w:rFonts w:cs="Times New Roman"/>
                <w:b/>
                <w:bCs/>
              </w:rPr>
            </w:pPr>
            <w:r w:rsidRPr="0028337D">
              <w:rPr>
                <w:rFonts w:cs="Times New Roman"/>
                <w:b/>
                <w:bCs/>
              </w:rPr>
              <w:t>Kryterium mierzalne.</w:t>
            </w:r>
          </w:p>
          <w:p w14:paraId="0F7EDF43" w14:textId="77777777" w:rsidR="0074345A" w:rsidRPr="0028337D" w:rsidRDefault="0074345A" w:rsidP="007C2BBB">
            <w:pPr>
              <w:spacing w:before="0" w:after="0"/>
              <w:jc w:val="center"/>
              <w:rPr>
                <w:rFonts w:cs="Times New Roman"/>
              </w:rPr>
            </w:pPr>
            <w:r w:rsidRPr="0028337D">
              <w:rPr>
                <w:rFonts w:cs="Times New Roman"/>
              </w:rPr>
              <w:t>Źródło danych: Wniosek o przyznanie pomocy, Lista obszarów po PGR znajdujących się na terenie LGD.</w:t>
            </w:r>
          </w:p>
        </w:tc>
        <w:tc>
          <w:tcPr>
            <w:tcW w:w="1175" w:type="dxa"/>
            <w:gridSpan w:val="2"/>
            <w:shd w:val="clear" w:color="auto" w:fill="auto"/>
            <w:vAlign w:val="center"/>
          </w:tcPr>
          <w:p w14:paraId="1147B521" w14:textId="77777777" w:rsidR="0074345A" w:rsidRPr="0028337D" w:rsidRDefault="0074345A" w:rsidP="007C2BBB">
            <w:pPr>
              <w:spacing w:before="0" w:after="0"/>
              <w:jc w:val="center"/>
              <w:rPr>
                <w:rFonts w:cs="Times New Roman"/>
                <w:b/>
                <w:bCs/>
                <w:szCs w:val="24"/>
              </w:rPr>
            </w:pPr>
            <w:r w:rsidRPr="0028337D">
              <w:rPr>
                <w:rFonts w:cs="Times New Roman"/>
                <w:b/>
                <w:bCs/>
                <w:szCs w:val="24"/>
              </w:rPr>
              <w:t>2</w:t>
            </w:r>
          </w:p>
        </w:tc>
        <w:tc>
          <w:tcPr>
            <w:tcW w:w="3077" w:type="dxa"/>
            <w:shd w:val="clear" w:color="auto" w:fill="auto"/>
            <w:vAlign w:val="center"/>
          </w:tcPr>
          <w:p w14:paraId="1E8BB708" w14:textId="77777777" w:rsidR="0074345A" w:rsidRPr="0028337D" w:rsidRDefault="0074345A" w:rsidP="007C2BBB">
            <w:pPr>
              <w:spacing w:before="0" w:after="0"/>
              <w:jc w:val="center"/>
              <w:rPr>
                <w:rFonts w:cs="Times New Roman"/>
                <w:b/>
                <w:bCs/>
                <w:szCs w:val="24"/>
              </w:rPr>
            </w:pPr>
          </w:p>
        </w:tc>
      </w:tr>
      <w:tr w:rsidR="0074345A" w:rsidRPr="0028337D" w14:paraId="2578B58F" w14:textId="77777777" w:rsidTr="007636B3">
        <w:tc>
          <w:tcPr>
            <w:tcW w:w="836" w:type="dxa"/>
            <w:shd w:val="clear" w:color="auto" w:fill="auto"/>
            <w:vAlign w:val="center"/>
          </w:tcPr>
          <w:p w14:paraId="2B1992C4" w14:textId="77777777" w:rsidR="0074345A" w:rsidRPr="0028337D" w:rsidRDefault="0074345A" w:rsidP="007C2BBB">
            <w:pPr>
              <w:pStyle w:val="Akapitzlist"/>
              <w:numPr>
                <w:ilvl w:val="0"/>
                <w:numId w:val="13"/>
              </w:numPr>
              <w:spacing w:before="0" w:after="0"/>
              <w:jc w:val="center"/>
              <w:rPr>
                <w:rFonts w:cs="Times New Roman"/>
                <w:b/>
                <w:bCs/>
                <w:szCs w:val="24"/>
              </w:rPr>
            </w:pPr>
          </w:p>
        </w:tc>
        <w:tc>
          <w:tcPr>
            <w:tcW w:w="3559" w:type="dxa"/>
            <w:shd w:val="clear" w:color="auto" w:fill="auto"/>
            <w:vAlign w:val="center"/>
          </w:tcPr>
          <w:p w14:paraId="0F202D2B" w14:textId="77777777" w:rsidR="0074345A" w:rsidRPr="0028337D" w:rsidRDefault="0074345A" w:rsidP="007C2BBB">
            <w:pPr>
              <w:autoSpaceDE w:val="0"/>
              <w:autoSpaceDN w:val="0"/>
              <w:adjustRightInd w:val="0"/>
              <w:spacing w:after="0"/>
              <w:jc w:val="center"/>
              <w:rPr>
                <w:rFonts w:cs="Times New Roman"/>
                <w:i/>
                <w:iCs/>
              </w:rPr>
            </w:pPr>
            <w:r w:rsidRPr="0028337D">
              <w:rPr>
                <w:rFonts w:cs="Times New Roman"/>
                <w:b/>
                <w:bCs/>
                <w:i/>
                <w:iCs/>
              </w:rPr>
              <w:t xml:space="preserve">Wielkość miejscowości, </w:t>
            </w:r>
            <w:r w:rsidRPr="0028337D">
              <w:rPr>
                <w:rFonts w:cs="Times New Roman"/>
                <w:b/>
                <w:bCs/>
                <w:i/>
                <w:iCs/>
              </w:rPr>
              <w:br/>
              <w:t>w której realizowana będzie operacja</w:t>
            </w:r>
          </w:p>
          <w:p w14:paraId="6071746E" w14:textId="77777777" w:rsidR="0074345A" w:rsidRDefault="0074345A" w:rsidP="0074345A">
            <w:pPr>
              <w:pStyle w:val="Akapitzlist"/>
              <w:numPr>
                <w:ilvl w:val="0"/>
                <w:numId w:val="20"/>
              </w:numPr>
              <w:autoSpaceDE w:val="0"/>
              <w:autoSpaceDN w:val="0"/>
              <w:adjustRightInd w:val="0"/>
              <w:spacing w:before="0" w:after="0"/>
              <w:ind w:left="325" w:hanging="273"/>
              <w:rPr>
                <w:rFonts w:cs="Times New Roman"/>
              </w:rPr>
            </w:pPr>
            <w:r w:rsidRPr="0028337D">
              <w:rPr>
                <w:rFonts w:cs="Times New Roman"/>
                <w:b/>
              </w:rPr>
              <w:t>2 pkt</w:t>
            </w:r>
            <w:r w:rsidRPr="0028337D">
              <w:rPr>
                <w:rFonts w:cs="Times New Roman"/>
              </w:rPr>
              <w:t xml:space="preserve"> – operacja realizowana </w:t>
            </w:r>
            <w:r w:rsidRPr="0028337D">
              <w:rPr>
                <w:rFonts w:cs="Times New Roman"/>
              </w:rPr>
              <w:br/>
              <w:t xml:space="preserve">będzie w miejscowości zamieszkałej przez mniej niż </w:t>
            </w:r>
            <w:r w:rsidRPr="0028337D">
              <w:rPr>
                <w:rFonts w:cs="Times New Roman"/>
              </w:rPr>
              <w:br/>
              <w:t>5 tys. mieszkańców</w:t>
            </w:r>
          </w:p>
          <w:p w14:paraId="7B8C876F" w14:textId="77777777" w:rsidR="0074345A" w:rsidRPr="0028337D" w:rsidRDefault="0074345A" w:rsidP="0074345A">
            <w:pPr>
              <w:pStyle w:val="Akapitzlist"/>
              <w:numPr>
                <w:ilvl w:val="0"/>
                <w:numId w:val="20"/>
              </w:numPr>
              <w:autoSpaceDE w:val="0"/>
              <w:autoSpaceDN w:val="0"/>
              <w:adjustRightInd w:val="0"/>
              <w:spacing w:before="0" w:after="0"/>
              <w:ind w:left="325" w:hanging="273"/>
              <w:rPr>
                <w:rFonts w:cs="Times New Roman"/>
              </w:rPr>
            </w:pPr>
            <w:r w:rsidRPr="0028337D">
              <w:rPr>
                <w:rFonts w:cs="Times New Roman"/>
                <w:b/>
              </w:rPr>
              <w:t xml:space="preserve">0 pkt- </w:t>
            </w:r>
            <w:r w:rsidRPr="0028337D">
              <w:rPr>
                <w:rFonts w:cs="Times New Roman"/>
                <w:bCs/>
              </w:rPr>
              <w:t>operacja</w:t>
            </w:r>
            <w:r w:rsidRPr="0028337D">
              <w:rPr>
                <w:rFonts w:cs="Times New Roman"/>
                <w:b/>
              </w:rPr>
              <w:t xml:space="preserve"> </w:t>
            </w:r>
            <w:r w:rsidRPr="0028337D">
              <w:rPr>
                <w:rFonts w:cs="Times New Roman"/>
              </w:rPr>
              <w:t xml:space="preserve">realizowana </w:t>
            </w:r>
            <w:r w:rsidRPr="0028337D">
              <w:rPr>
                <w:rFonts w:cs="Times New Roman"/>
              </w:rPr>
              <w:br/>
              <w:t>będzie w miejscowości  zamieszkałej przez 5 tys. mieszkańców i powyżej</w:t>
            </w:r>
          </w:p>
        </w:tc>
        <w:tc>
          <w:tcPr>
            <w:tcW w:w="6095" w:type="dxa"/>
            <w:shd w:val="clear" w:color="auto" w:fill="auto"/>
            <w:vAlign w:val="center"/>
          </w:tcPr>
          <w:p w14:paraId="1AF35D1D" w14:textId="503C0F33" w:rsidR="000E0073" w:rsidRDefault="000E0073" w:rsidP="000E0073">
            <w:pPr>
              <w:pStyle w:val="Default"/>
              <w:jc w:val="center"/>
              <w:rPr>
                <w:rFonts w:ascii="Times New Roman" w:hAnsi="Times New Roman" w:cs="Times New Roman"/>
                <w:color w:val="auto"/>
              </w:rPr>
            </w:pPr>
            <w:r w:rsidRPr="000E0073">
              <w:rPr>
                <w:rFonts w:ascii="Times New Roman" w:hAnsi="Times New Roman" w:cs="Times New Roman"/>
                <w:color w:val="auto"/>
              </w:rPr>
              <w:t>Preferuje się operacje, realizowane w mniejszych miejscowościach ze względu na zdiagnozowane w analizie deficyty (braki w infrastrukturze i ofercie) na obszarze zamieszkałym przez mniejszą liczbę ludności. Kryterium uważa się za spełnione jeżeli wszystkie działania w ramach projektu będą realizowane w miejscowości zamieszkałej przez mniej niż 5 tys. mieszkańców</w:t>
            </w:r>
            <w:r w:rsidR="003E4970">
              <w:rPr>
                <w:rFonts w:ascii="Times New Roman" w:hAnsi="Times New Roman" w:cs="Times New Roman"/>
                <w:color w:val="auto"/>
              </w:rPr>
              <w:t>.</w:t>
            </w:r>
          </w:p>
          <w:p w14:paraId="6ABFB781" w14:textId="49E42AB0" w:rsidR="003E4970" w:rsidRPr="0028337D" w:rsidRDefault="003E4970" w:rsidP="003E4970">
            <w:pPr>
              <w:pStyle w:val="Default"/>
              <w:jc w:val="center"/>
              <w:rPr>
                <w:rFonts w:ascii="Times New Roman" w:hAnsi="Times New Roman" w:cs="Times New Roman"/>
                <w:b/>
                <w:bCs/>
                <w:color w:val="auto"/>
              </w:rPr>
            </w:pPr>
            <w:r w:rsidRPr="0028337D">
              <w:rPr>
                <w:rFonts w:ascii="Times New Roman" w:hAnsi="Times New Roman" w:cs="Times New Roman"/>
                <w:b/>
                <w:bCs/>
                <w:color w:val="auto"/>
              </w:rPr>
              <w:t>Kryterium mierzalne.</w:t>
            </w:r>
          </w:p>
          <w:p w14:paraId="117E5739" w14:textId="22C7410A" w:rsidR="0074345A" w:rsidRPr="0028337D" w:rsidRDefault="000E0073" w:rsidP="003E4970">
            <w:pPr>
              <w:pStyle w:val="Default"/>
              <w:jc w:val="center"/>
              <w:rPr>
                <w:rFonts w:ascii="Times New Roman" w:hAnsi="Times New Roman" w:cs="Times New Roman"/>
                <w:color w:val="auto"/>
              </w:rPr>
            </w:pPr>
            <w:r w:rsidRPr="000E0073">
              <w:rPr>
                <w:rFonts w:ascii="Times New Roman" w:hAnsi="Times New Roman" w:cs="Times New Roman"/>
                <w:color w:val="auto"/>
              </w:rPr>
              <w:t>Źródło danych: Wniosek o dofinansowanie pomocy. Weryfikacja stanu ludności odbywać się będzie na podstawie wykazu miejscowości powyżej 5 tys. mieszkańców, z obszaru objętego LSR</w:t>
            </w:r>
            <w:r w:rsidR="003E4970">
              <w:rPr>
                <w:rFonts w:ascii="Times New Roman" w:hAnsi="Times New Roman" w:cs="Times New Roman"/>
                <w:color w:val="auto"/>
              </w:rPr>
              <w:t>.</w:t>
            </w:r>
          </w:p>
        </w:tc>
        <w:tc>
          <w:tcPr>
            <w:tcW w:w="1175" w:type="dxa"/>
            <w:gridSpan w:val="2"/>
            <w:shd w:val="clear" w:color="auto" w:fill="auto"/>
            <w:vAlign w:val="center"/>
          </w:tcPr>
          <w:p w14:paraId="36E4D4C3" w14:textId="77777777" w:rsidR="0074345A" w:rsidRPr="0028337D" w:rsidRDefault="0074345A" w:rsidP="007C2BBB">
            <w:pPr>
              <w:spacing w:before="0" w:after="0"/>
              <w:jc w:val="center"/>
              <w:rPr>
                <w:rFonts w:cs="Times New Roman"/>
                <w:b/>
                <w:bCs/>
                <w:szCs w:val="24"/>
              </w:rPr>
            </w:pPr>
            <w:r w:rsidRPr="0028337D">
              <w:rPr>
                <w:rFonts w:cs="Times New Roman"/>
                <w:b/>
                <w:bCs/>
                <w:szCs w:val="24"/>
              </w:rPr>
              <w:t>2</w:t>
            </w:r>
          </w:p>
        </w:tc>
        <w:tc>
          <w:tcPr>
            <w:tcW w:w="3077" w:type="dxa"/>
            <w:shd w:val="clear" w:color="auto" w:fill="auto"/>
            <w:vAlign w:val="center"/>
          </w:tcPr>
          <w:p w14:paraId="6EB15E39" w14:textId="77777777" w:rsidR="0074345A" w:rsidRPr="0028337D" w:rsidRDefault="0074345A" w:rsidP="007C2BBB">
            <w:pPr>
              <w:spacing w:before="0" w:after="0"/>
              <w:jc w:val="center"/>
              <w:rPr>
                <w:rFonts w:cs="Times New Roman"/>
                <w:b/>
                <w:bCs/>
                <w:szCs w:val="24"/>
              </w:rPr>
            </w:pPr>
          </w:p>
        </w:tc>
      </w:tr>
      <w:tr w:rsidR="0074345A" w:rsidRPr="0028337D" w14:paraId="5C96E82A" w14:textId="77777777" w:rsidTr="007636B3">
        <w:tc>
          <w:tcPr>
            <w:tcW w:w="836" w:type="dxa"/>
            <w:shd w:val="clear" w:color="auto" w:fill="auto"/>
            <w:vAlign w:val="center"/>
          </w:tcPr>
          <w:p w14:paraId="22D9E460" w14:textId="77777777" w:rsidR="0074345A" w:rsidRPr="0028337D" w:rsidRDefault="0074345A" w:rsidP="007C2BBB">
            <w:pPr>
              <w:pStyle w:val="Akapitzlist"/>
              <w:numPr>
                <w:ilvl w:val="0"/>
                <w:numId w:val="13"/>
              </w:numPr>
              <w:spacing w:before="0" w:after="0"/>
              <w:jc w:val="center"/>
              <w:rPr>
                <w:rFonts w:cs="Times New Roman"/>
                <w:b/>
                <w:bCs/>
                <w:szCs w:val="24"/>
              </w:rPr>
            </w:pPr>
          </w:p>
        </w:tc>
        <w:tc>
          <w:tcPr>
            <w:tcW w:w="3559" w:type="dxa"/>
            <w:shd w:val="clear" w:color="auto" w:fill="auto"/>
            <w:vAlign w:val="center"/>
          </w:tcPr>
          <w:p w14:paraId="1C1AFDE9" w14:textId="77777777" w:rsidR="0074345A" w:rsidRPr="0028337D" w:rsidRDefault="0074345A" w:rsidP="007C2BBB">
            <w:pPr>
              <w:autoSpaceDE w:val="0"/>
              <w:autoSpaceDN w:val="0"/>
              <w:adjustRightInd w:val="0"/>
              <w:spacing w:after="0"/>
              <w:jc w:val="center"/>
              <w:rPr>
                <w:rFonts w:cs="Times New Roman"/>
                <w:b/>
                <w:bCs/>
                <w:i/>
                <w:iCs/>
              </w:rPr>
            </w:pPr>
            <w:r w:rsidRPr="0028337D">
              <w:rPr>
                <w:rFonts w:cs="Times New Roman"/>
                <w:b/>
                <w:bCs/>
                <w:i/>
                <w:iCs/>
              </w:rPr>
              <w:t>Doświadczenie Wnioskodawcy</w:t>
            </w:r>
            <w:r w:rsidRPr="0028337D">
              <w:rPr>
                <w:rFonts w:cs="Times New Roman"/>
                <w:b/>
                <w:bCs/>
                <w:i/>
                <w:iCs/>
              </w:rPr>
              <w:br/>
              <w:t>w realizacji projektów dofinansowanych ze środków zewnętrznych</w:t>
            </w:r>
          </w:p>
          <w:p w14:paraId="528B8E9D" w14:textId="77777777" w:rsidR="0074345A" w:rsidRPr="0028337D" w:rsidRDefault="0074345A" w:rsidP="0074345A">
            <w:pPr>
              <w:pStyle w:val="Akapitzlist"/>
              <w:numPr>
                <w:ilvl w:val="0"/>
                <w:numId w:val="21"/>
              </w:numPr>
              <w:autoSpaceDE w:val="0"/>
              <w:autoSpaceDN w:val="0"/>
              <w:adjustRightInd w:val="0"/>
              <w:spacing w:after="0"/>
              <w:ind w:left="193" w:hanging="243"/>
              <w:rPr>
                <w:rFonts w:cs="Times New Roman"/>
              </w:rPr>
            </w:pPr>
            <w:r w:rsidRPr="0028337D">
              <w:rPr>
                <w:rFonts w:cs="Times New Roman"/>
                <w:b/>
                <w:bCs/>
              </w:rPr>
              <w:lastRenderedPageBreak/>
              <w:t>4 pkt</w:t>
            </w:r>
            <w:r w:rsidRPr="0028337D">
              <w:rPr>
                <w:rFonts w:cs="Times New Roman"/>
              </w:rPr>
              <w:t xml:space="preserve"> - Wnioskodawca posiada doświadczenie doświadczenia</w:t>
            </w:r>
          </w:p>
          <w:p w14:paraId="4EEAF500" w14:textId="77777777" w:rsidR="0074345A" w:rsidRPr="0028337D" w:rsidRDefault="0074345A" w:rsidP="0074345A">
            <w:pPr>
              <w:pStyle w:val="Akapitzlist"/>
              <w:numPr>
                <w:ilvl w:val="0"/>
                <w:numId w:val="21"/>
              </w:numPr>
              <w:autoSpaceDE w:val="0"/>
              <w:autoSpaceDN w:val="0"/>
              <w:adjustRightInd w:val="0"/>
              <w:spacing w:after="0"/>
              <w:ind w:left="193" w:hanging="243"/>
              <w:rPr>
                <w:rFonts w:cs="Times New Roman"/>
              </w:rPr>
            </w:pPr>
            <w:r w:rsidRPr="0028337D">
              <w:rPr>
                <w:rFonts w:cs="Times New Roman"/>
                <w:b/>
                <w:bCs/>
              </w:rPr>
              <w:t>0 pkt</w:t>
            </w:r>
            <w:r w:rsidRPr="0028337D">
              <w:rPr>
                <w:rFonts w:cs="Times New Roman"/>
              </w:rPr>
              <w:t xml:space="preserve"> - Wnioskodawca nie posiada doświadczenia - 5 pkt.</w:t>
            </w:r>
          </w:p>
        </w:tc>
        <w:tc>
          <w:tcPr>
            <w:tcW w:w="6095" w:type="dxa"/>
            <w:shd w:val="clear" w:color="auto" w:fill="auto"/>
            <w:vAlign w:val="center"/>
          </w:tcPr>
          <w:p w14:paraId="6E9EDD4A" w14:textId="77777777" w:rsidR="00B544F7" w:rsidRPr="00B544F7" w:rsidRDefault="00B544F7" w:rsidP="00B544F7">
            <w:pPr>
              <w:pStyle w:val="Default"/>
              <w:jc w:val="center"/>
              <w:rPr>
                <w:rFonts w:ascii="Times New Roman" w:hAnsi="Times New Roman" w:cs="Times New Roman"/>
                <w:color w:val="auto"/>
              </w:rPr>
            </w:pPr>
            <w:r w:rsidRPr="00B544F7">
              <w:rPr>
                <w:rFonts w:ascii="Times New Roman" w:hAnsi="Times New Roman" w:cs="Times New Roman"/>
                <w:color w:val="auto"/>
              </w:rPr>
              <w:lastRenderedPageBreak/>
              <w:t>LGD premiuje operacje, w ramach których Wnioskodawca posiada doświadczenie w realizacji projektów dofinansowanych ze środków  Europejskiego Funduszu Społecznego (EFS).</w:t>
            </w:r>
          </w:p>
          <w:p w14:paraId="19CF38E9" w14:textId="0A841BBF" w:rsidR="0074345A" w:rsidRPr="0028337D" w:rsidRDefault="00B544F7" w:rsidP="00B544F7">
            <w:pPr>
              <w:pStyle w:val="Default"/>
              <w:jc w:val="center"/>
              <w:rPr>
                <w:rFonts w:ascii="Times New Roman" w:hAnsi="Times New Roman" w:cs="Times New Roman"/>
                <w:color w:val="auto"/>
              </w:rPr>
            </w:pPr>
            <w:r w:rsidRPr="00B544F7">
              <w:rPr>
                <w:rFonts w:ascii="Times New Roman" w:hAnsi="Times New Roman" w:cs="Times New Roman"/>
                <w:color w:val="auto"/>
              </w:rPr>
              <w:t>Punkty przyznaje się, jeśli projekty zostały rozliczone</w:t>
            </w:r>
            <w:r w:rsidR="0074345A" w:rsidRPr="0028337D">
              <w:rPr>
                <w:rFonts w:ascii="Times New Roman" w:hAnsi="Times New Roman" w:cs="Times New Roman"/>
                <w:color w:val="auto"/>
              </w:rPr>
              <w:t>.</w:t>
            </w:r>
          </w:p>
          <w:p w14:paraId="3DC6F359" w14:textId="77777777" w:rsidR="0074345A" w:rsidRPr="0028337D" w:rsidRDefault="0074345A" w:rsidP="007C2BBB">
            <w:pPr>
              <w:pStyle w:val="Default"/>
              <w:jc w:val="center"/>
              <w:rPr>
                <w:rFonts w:ascii="Times New Roman" w:hAnsi="Times New Roman" w:cs="Times New Roman"/>
                <w:b/>
                <w:bCs/>
                <w:color w:val="auto"/>
              </w:rPr>
            </w:pPr>
            <w:r w:rsidRPr="0028337D">
              <w:rPr>
                <w:rFonts w:ascii="Times New Roman" w:hAnsi="Times New Roman" w:cs="Times New Roman"/>
                <w:b/>
                <w:bCs/>
                <w:color w:val="auto"/>
              </w:rPr>
              <w:lastRenderedPageBreak/>
              <w:t>Kryterium mierzalne.</w:t>
            </w:r>
          </w:p>
          <w:p w14:paraId="147279B9" w14:textId="7520E1D9" w:rsidR="0074345A" w:rsidRPr="0028337D" w:rsidRDefault="0074345A" w:rsidP="007C2BBB">
            <w:pPr>
              <w:pStyle w:val="Default"/>
              <w:jc w:val="center"/>
              <w:rPr>
                <w:rFonts w:ascii="Times New Roman" w:hAnsi="Times New Roman" w:cs="Times New Roman"/>
                <w:color w:val="auto"/>
              </w:rPr>
            </w:pPr>
            <w:r w:rsidRPr="0028337D">
              <w:rPr>
                <w:rFonts w:ascii="Times New Roman" w:hAnsi="Times New Roman" w:cs="Times New Roman"/>
                <w:color w:val="auto"/>
              </w:rPr>
              <w:t>Źródło weryfikacji: Wniosek o</w:t>
            </w:r>
            <w:r w:rsidR="00B544F7">
              <w:rPr>
                <w:rFonts w:ascii="Times New Roman" w:hAnsi="Times New Roman" w:cs="Times New Roman"/>
                <w:color w:val="auto"/>
              </w:rPr>
              <w:t xml:space="preserve"> dofinansowanie</w:t>
            </w:r>
            <w:r w:rsidRPr="0028337D">
              <w:rPr>
                <w:rFonts w:ascii="Times New Roman" w:hAnsi="Times New Roman" w:cs="Times New Roman"/>
                <w:color w:val="auto"/>
              </w:rPr>
              <w:t>.</w:t>
            </w:r>
          </w:p>
        </w:tc>
        <w:tc>
          <w:tcPr>
            <w:tcW w:w="1175" w:type="dxa"/>
            <w:gridSpan w:val="2"/>
            <w:shd w:val="clear" w:color="auto" w:fill="auto"/>
            <w:vAlign w:val="center"/>
          </w:tcPr>
          <w:p w14:paraId="06B46043" w14:textId="77777777" w:rsidR="0074345A" w:rsidRPr="0028337D" w:rsidRDefault="0074345A" w:rsidP="007C2BBB">
            <w:pPr>
              <w:spacing w:before="0" w:after="0"/>
              <w:jc w:val="center"/>
              <w:rPr>
                <w:rFonts w:cs="Times New Roman"/>
                <w:b/>
                <w:bCs/>
                <w:szCs w:val="24"/>
              </w:rPr>
            </w:pPr>
            <w:r w:rsidRPr="0028337D">
              <w:rPr>
                <w:rFonts w:cs="Times New Roman"/>
                <w:b/>
                <w:bCs/>
                <w:szCs w:val="24"/>
              </w:rPr>
              <w:lastRenderedPageBreak/>
              <w:t>4</w:t>
            </w:r>
          </w:p>
        </w:tc>
        <w:tc>
          <w:tcPr>
            <w:tcW w:w="3077" w:type="dxa"/>
            <w:shd w:val="clear" w:color="auto" w:fill="auto"/>
            <w:vAlign w:val="center"/>
          </w:tcPr>
          <w:p w14:paraId="62EA965A" w14:textId="77777777" w:rsidR="0074345A" w:rsidRPr="0028337D" w:rsidRDefault="0074345A" w:rsidP="007C2BBB">
            <w:pPr>
              <w:spacing w:before="0" w:after="0"/>
              <w:jc w:val="center"/>
              <w:rPr>
                <w:rFonts w:cs="Times New Roman"/>
                <w:b/>
                <w:bCs/>
                <w:szCs w:val="24"/>
              </w:rPr>
            </w:pPr>
          </w:p>
        </w:tc>
      </w:tr>
      <w:tr w:rsidR="0074345A" w:rsidRPr="0028337D" w14:paraId="1EFDF947" w14:textId="77777777" w:rsidTr="007636B3">
        <w:tc>
          <w:tcPr>
            <w:tcW w:w="836" w:type="dxa"/>
            <w:vAlign w:val="center"/>
          </w:tcPr>
          <w:p w14:paraId="24557B8F" w14:textId="77777777" w:rsidR="0074345A" w:rsidRPr="0028337D" w:rsidRDefault="0074345A" w:rsidP="007C2BBB">
            <w:pPr>
              <w:pStyle w:val="Akapitzlist"/>
              <w:numPr>
                <w:ilvl w:val="0"/>
                <w:numId w:val="13"/>
              </w:numPr>
              <w:spacing w:before="0"/>
              <w:jc w:val="center"/>
              <w:rPr>
                <w:rFonts w:cs="Times New Roman"/>
                <w:b/>
                <w:bCs/>
                <w:szCs w:val="24"/>
              </w:rPr>
            </w:pPr>
          </w:p>
        </w:tc>
        <w:tc>
          <w:tcPr>
            <w:tcW w:w="3559" w:type="dxa"/>
            <w:vAlign w:val="center"/>
          </w:tcPr>
          <w:p w14:paraId="7E71F0CA" w14:textId="77777777" w:rsidR="0074345A" w:rsidRPr="0028337D" w:rsidRDefault="0074345A" w:rsidP="007C2BBB">
            <w:pPr>
              <w:spacing w:before="0" w:after="0"/>
              <w:jc w:val="center"/>
              <w:rPr>
                <w:rFonts w:cs="Times New Roman"/>
                <w:b/>
                <w:bCs/>
                <w:i/>
                <w:iCs/>
                <w:szCs w:val="24"/>
              </w:rPr>
            </w:pPr>
            <w:r w:rsidRPr="0028337D">
              <w:rPr>
                <w:rFonts w:cs="Times New Roman"/>
                <w:b/>
                <w:bCs/>
                <w:i/>
                <w:iCs/>
                <w:szCs w:val="24"/>
              </w:rPr>
              <w:t>Doradztwo świadczone przez LGD</w:t>
            </w:r>
          </w:p>
          <w:p w14:paraId="742F7F66" w14:textId="77777777" w:rsidR="0074345A" w:rsidRPr="0028337D" w:rsidRDefault="0074345A" w:rsidP="007C2BBB">
            <w:pPr>
              <w:pStyle w:val="Akapitzlist"/>
              <w:numPr>
                <w:ilvl w:val="0"/>
                <w:numId w:val="8"/>
              </w:numPr>
              <w:spacing w:before="0" w:after="0"/>
              <w:ind w:left="312" w:hanging="266"/>
              <w:rPr>
                <w:rFonts w:cs="Times New Roman"/>
                <w:szCs w:val="24"/>
              </w:rPr>
            </w:pPr>
            <w:r w:rsidRPr="0028337D">
              <w:rPr>
                <w:rFonts w:cs="Times New Roman"/>
                <w:b/>
                <w:bCs/>
                <w:szCs w:val="24"/>
              </w:rPr>
              <w:t>3 pkt –</w:t>
            </w:r>
            <w:r w:rsidRPr="0028337D">
              <w:rPr>
                <w:rFonts w:cs="Times New Roman"/>
                <w:szCs w:val="24"/>
              </w:rPr>
              <w:t xml:space="preserve"> Wnioskodawca korzystał z doradztwa indywidualnego w biurze LGD w ramach przygotowania wniosku o przyznanie pomocy</w:t>
            </w:r>
            <w:r w:rsidRPr="0028337D">
              <w:rPr>
                <w:rFonts w:cs="Times New Roman"/>
              </w:rPr>
              <w:t xml:space="preserve"> </w:t>
            </w:r>
            <w:r w:rsidRPr="0028337D">
              <w:rPr>
                <w:rFonts w:cs="Times New Roman"/>
                <w:szCs w:val="24"/>
              </w:rPr>
              <w:t>najpóźniej na 5 dni roboczych przed upływem terminu składania wniosków</w:t>
            </w:r>
          </w:p>
          <w:p w14:paraId="5D375C5F" w14:textId="77777777" w:rsidR="0074345A" w:rsidRPr="0028337D" w:rsidRDefault="0074345A" w:rsidP="007C2BBB">
            <w:pPr>
              <w:pStyle w:val="Akapitzlist"/>
              <w:numPr>
                <w:ilvl w:val="0"/>
                <w:numId w:val="8"/>
              </w:numPr>
              <w:spacing w:before="0" w:after="0"/>
              <w:ind w:left="312" w:hanging="266"/>
              <w:rPr>
                <w:rFonts w:cs="Times New Roman"/>
                <w:szCs w:val="24"/>
              </w:rPr>
            </w:pPr>
            <w:r w:rsidRPr="0028337D">
              <w:rPr>
                <w:rFonts w:cs="Times New Roman"/>
                <w:b/>
                <w:bCs/>
                <w:szCs w:val="24"/>
              </w:rPr>
              <w:t>0 pkt –</w:t>
            </w:r>
            <w:r w:rsidRPr="0028337D">
              <w:rPr>
                <w:rFonts w:cs="Times New Roman"/>
                <w:szCs w:val="24"/>
              </w:rPr>
              <w:t xml:space="preserve"> Wnioskodawca </w:t>
            </w:r>
            <w:r w:rsidRPr="0028337D">
              <w:rPr>
                <w:rFonts w:cs="Times New Roman"/>
                <w:szCs w:val="24"/>
              </w:rPr>
              <w:br/>
              <w:t>w terminie do 5 dni roboczych przed upływem terminu składania wniosków nie korzystał z doradztwa indywidualnego w biurze LGD w ramach przygotowania wniosku o przyznanie pomocy</w:t>
            </w:r>
          </w:p>
        </w:tc>
        <w:tc>
          <w:tcPr>
            <w:tcW w:w="6095" w:type="dxa"/>
            <w:vAlign w:val="center"/>
          </w:tcPr>
          <w:p w14:paraId="2FDF8D24" w14:textId="77777777" w:rsidR="0074345A" w:rsidRPr="0028337D" w:rsidRDefault="0074345A" w:rsidP="007C2BBB">
            <w:pPr>
              <w:spacing w:before="0" w:after="0"/>
              <w:jc w:val="center"/>
              <w:rPr>
                <w:rFonts w:cs="Times New Roman"/>
                <w:szCs w:val="24"/>
              </w:rPr>
            </w:pPr>
            <w:r w:rsidRPr="0028337D">
              <w:rPr>
                <w:rFonts w:cs="Times New Roman"/>
                <w:szCs w:val="24"/>
              </w:rPr>
              <w:t xml:space="preserve">Kryterium premiuje wnioskodawców korzystających </w:t>
            </w:r>
            <w:r w:rsidRPr="0028337D">
              <w:rPr>
                <w:rFonts w:cs="Times New Roman"/>
                <w:szCs w:val="24"/>
              </w:rPr>
              <w:br/>
              <w:t>z doradztwa w celu zapewnienia jak najwyższej jakości złożonych wniosków.</w:t>
            </w:r>
          </w:p>
          <w:p w14:paraId="2E3675BF" w14:textId="77777777" w:rsidR="0074345A" w:rsidRPr="0028337D" w:rsidRDefault="0074345A" w:rsidP="007C2BBB">
            <w:pPr>
              <w:spacing w:before="0" w:after="0"/>
              <w:jc w:val="center"/>
              <w:rPr>
                <w:rFonts w:cs="Times New Roman"/>
                <w:b/>
                <w:bCs/>
                <w:szCs w:val="24"/>
              </w:rPr>
            </w:pPr>
            <w:r w:rsidRPr="0028337D">
              <w:rPr>
                <w:rFonts w:cs="Times New Roman"/>
                <w:b/>
                <w:bCs/>
                <w:szCs w:val="24"/>
              </w:rPr>
              <w:t>Kryterium mierzalne.</w:t>
            </w:r>
          </w:p>
          <w:p w14:paraId="7A4FE7CA" w14:textId="77777777" w:rsidR="0074345A" w:rsidRPr="0028337D" w:rsidRDefault="0074345A" w:rsidP="007C2BBB">
            <w:pPr>
              <w:spacing w:before="0" w:after="0"/>
              <w:jc w:val="center"/>
              <w:rPr>
                <w:rFonts w:cs="Times New Roman"/>
                <w:szCs w:val="24"/>
              </w:rPr>
            </w:pPr>
            <w:r w:rsidRPr="0028337D">
              <w:rPr>
                <w:rFonts w:cs="Times New Roman"/>
                <w:szCs w:val="24"/>
              </w:rPr>
              <w:t>Źródło danych: karta doradztwa świadczonego w biurze LGD.</w:t>
            </w:r>
          </w:p>
        </w:tc>
        <w:tc>
          <w:tcPr>
            <w:tcW w:w="1175" w:type="dxa"/>
            <w:gridSpan w:val="2"/>
            <w:vAlign w:val="center"/>
          </w:tcPr>
          <w:p w14:paraId="667C348E" w14:textId="77777777" w:rsidR="0074345A" w:rsidRPr="0028337D" w:rsidRDefault="0074345A" w:rsidP="007C2BBB">
            <w:pPr>
              <w:spacing w:before="0"/>
              <w:jc w:val="center"/>
              <w:rPr>
                <w:rFonts w:cs="Times New Roman"/>
                <w:b/>
                <w:bCs/>
                <w:szCs w:val="24"/>
              </w:rPr>
            </w:pPr>
            <w:r w:rsidRPr="0028337D">
              <w:rPr>
                <w:rFonts w:cs="Times New Roman"/>
                <w:b/>
                <w:bCs/>
                <w:szCs w:val="24"/>
              </w:rPr>
              <w:t>3</w:t>
            </w:r>
          </w:p>
        </w:tc>
        <w:tc>
          <w:tcPr>
            <w:tcW w:w="3077" w:type="dxa"/>
            <w:vAlign w:val="center"/>
          </w:tcPr>
          <w:p w14:paraId="7FB35CD9" w14:textId="77777777" w:rsidR="0074345A" w:rsidRPr="0028337D" w:rsidRDefault="0074345A" w:rsidP="007C2BBB">
            <w:pPr>
              <w:spacing w:before="0"/>
              <w:jc w:val="center"/>
              <w:rPr>
                <w:rFonts w:cs="Times New Roman"/>
                <w:b/>
                <w:bCs/>
                <w:szCs w:val="24"/>
              </w:rPr>
            </w:pPr>
          </w:p>
        </w:tc>
      </w:tr>
      <w:tr w:rsidR="0074345A" w:rsidRPr="0028337D" w14:paraId="737AA7B5" w14:textId="77777777" w:rsidTr="00D15551">
        <w:trPr>
          <w:gridAfter w:val="2"/>
          <w:wAfter w:w="3113" w:type="dxa"/>
          <w:trHeight w:val="284"/>
        </w:trPr>
        <w:tc>
          <w:tcPr>
            <w:tcW w:w="11629" w:type="dxa"/>
            <w:gridSpan w:val="4"/>
            <w:shd w:val="clear" w:color="auto" w:fill="BFBFBF" w:themeFill="background1" w:themeFillShade="BF"/>
            <w:vAlign w:val="center"/>
          </w:tcPr>
          <w:p w14:paraId="58507523" w14:textId="1985E4E8" w:rsidR="0074345A" w:rsidRPr="007636B3" w:rsidRDefault="0074345A" w:rsidP="007636B3">
            <w:pPr>
              <w:spacing w:before="0" w:after="0"/>
              <w:jc w:val="center"/>
              <w:rPr>
                <w:rFonts w:cs="Times New Roman"/>
                <w:b/>
                <w:bCs/>
                <w:sz w:val="36"/>
                <w:szCs w:val="36"/>
              </w:rPr>
            </w:pPr>
            <w:r w:rsidRPr="007636B3">
              <w:rPr>
                <w:rFonts w:cs="Times New Roman"/>
                <w:b/>
                <w:bCs/>
                <w:sz w:val="36"/>
                <w:szCs w:val="36"/>
              </w:rPr>
              <w:t>Min. liczba punktów: 10</w:t>
            </w:r>
          </w:p>
          <w:p w14:paraId="73A990D6" w14:textId="085AAE12" w:rsidR="0074345A" w:rsidRPr="007636B3" w:rsidRDefault="0074345A" w:rsidP="007636B3">
            <w:pPr>
              <w:spacing w:before="0" w:after="0"/>
              <w:jc w:val="center"/>
              <w:rPr>
                <w:rFonts w:cs="Times New Roman"/>
                <w:b/>
                <w:bCs/>
                <w:sz w:val="36"/>
                <w:szCs w:val="36"/>
              </w:rPr>
            </w:pPr>
            <w:r w:rsidRPr="007636B3">
              <w:rPr>
                <w:rFonts w:cs="Times New Roman"/>
                <w:b/>
                <w:bCs/>
                <w:sz w:val="36"/>
                <w:szCs w:val="36"/>
              </w:rPr>
              <w:t>Max. liczba punktów: 28</w:t>
            </w:r>
          </w:p>
        </w:tc>
      </w:tr>
    </w:tbl>
    <w:p w14:paraId="3CA5F347" w14:textId="77777777" w:rsidR="006A1EDF" w:rsidRPr="00913091" w:rsidRDefault="006A1EDF" w:rsidP="007636B3">
      <w:pPr>
        <w:rPr>
          <w:rFonts w:cs="Times New Roman"/>
          <w:b/>
          <w:bCs/>
          <w:szCs w:val="24"/>
        </w:rPr>
      </w:pPr>
    </w:p>
    <w:sectPr w:rsidR="006A1EDF" w:rsidRPr="00913091" w:rsidSect="009B12C6">
      <w:headerReference w:type="default" r:id="rId7"/>
      <w:footerReference w:type="default" r:id="rId8"/>
      <w:pgSz w:w="16838" w:h="11906" w:orient="landscape"/>
      <w:pgMar w:top="1417" w:right="1417" w:bottom="1417" w:left="1417" w:header="17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6C0E8" w14:textId="77777777" w:rsidR="00A60CF4" w:rsidRDefault="00A60CF4" w:rsidP="00BE6876">
      <w:pPr>
        <w:spacing w:before="0" w:after="0"/>
      </w:pPr>
      <w:r>
        <w:separator/>
      </w:r>
    </w:p>
  </w:endnote>
  <w:endnote w:type="continuationSeparator" w:id="0">
    <w:p w14:paraId="31179DF8" w14:textId="77777777" w:rsidR="00A60CF4" w:rsidRDefault="00A60CF4" w:rsidP="00BE687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EC279" w14:textId="4E72DF95" w:rsidR="009B12C6" w:rsidRPr="009B12C6" w:rsidRDefault="007756AD" w:rsidP="009B12C6">
    <w:pPr>
      <w:pStyle w:val="Stopka"/>
      <w:jc w:val="center"/>
      <w:rPr>
        <w:i/>
        <w:iCs/>
      </w:rPr>
    </w:pPr>
    <w:r>
      <w:rPr>
        <w:i/>
        <w:iCs/>
      </w:rPr>
      <w:t>Konsultacje z dnia 17.07.2024 roku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2C50E" w14:textId="77777777" w:rsidR="00A60CF4" w:rsidRDefault="00A60CF4" w:rsidP="00BE6876">
      <w:pPr>
        <w:spacing w:before="0" w:after="0"/>
      </w:pPr>
      <w:r>
        <w:separator/>
      </w:r>
    </w:p>
  </w:footnote>
  <w:footnote w:type="continuationSeparator" w:id="0">
    <w:p w14:paraId="7598A536" w14:textId="77777777" w:rsidR="00A60CF4" w:rsidRDefault="00A60CF4" w:rsidP="00BE687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8CF9E" w14:textId="6D39C163" w:rsidR="0074345A" w:rsidRDefault="007756AD" w:rsidP="0074345A">
    <w:pPr>
      <w:pStyle w:val="Nagwek"/>
      <w:jc w:val="center"/>
      <w:rPr>
        <w:rFonts w:eastAsia="Times New Roman" w:cs="Times New Roman"/>
        <w:b/>
        <w:kern w:val="0"/>
        <w:sz w:val="28"/>
        <w:szCs w:val="28"/>
        <w:lang w:eastAsia="pl-PL"/>
        <w14:ligatures w14:val="none"/>
      </w:rPr>
    </w:pPr>
    <w:r w:rsidRPr="007756AD">
      <w:rPr>
        <w:rFonts w:eastAsia="Times New Roman" w:cs="Times New Roman"/>
        <w:b/>
        <w:kern w:val="0"/>
        <w:sz w:val="28"/>
        <w:szCs w:val="28"/>
        <w:lang w:eastAsia="pl-PL"/>
        <w14:ligatures w14:val="none"/>
      </w:rPr>
      <w:t>Formularz zgłoszeniowy</w:t>
    </w:r>
    <w:r>
      <w:rPr>
        <w:rFonts w:eastAsia="Times New Roman" w:cs="Times New Roman"/>
        <w:b/>
        <w:kern w:val="0"/>
        <w:sz w:val="28"/>
        <w:szCs w:val="28"/>
        <w:lang w:eastAsia="pl-PL"/>
        <w14:ligatures w14:val="none"/>
      </w:rPr>
      <w:t xml:space="preserve"> - </w:t>
    </w:r>
    <w:r w:rsidR="0074345A" w:rsidRPr="0074345A">
      <w:rPr>
        <w:rFonts w:eastAsia="Times New Roman" w:cs="Times New Roman"/>
        <w:b/>
        <w:kern w:val="0"/>
        <w:sz w:val="28"/>
        <w:szCs w:val="28"/>
        <w:lang w:eastAsia="pl-PL"/>
        <w14:ligatures w14:val="none"/>
      </w:rPr>
      <w:t>Promowanie integracji społecznej osób zagrożonych ubóstwem lub wykluczeniem społecznym, w tym osób najbardziej potrzebujących i dzieci</w:t>
    </w:r>
    <w:r w:rsidR="0074345A">
      <w:rPr>
        <w:rFonts w:eastAsia="Times New Roman" w:cs="Times New Roman"/>
        <w:b/>
        <w:kern w:val="0"/>
        <w:sz w:val="28"/>
        <w:szCs w:val="28"/>
        <w:lang w:eastAsia="pl-PL"/>
        <w14:ligatures w14:val="none"/>
      </w:rPr>
      <w:t xml:space="preserve"> – EFS+</w:t>
    </w:r>
  </w:p>
  <w:p w14:paraId="631549B4" w14:textId="7E889D60" w:rsidR="00A37080" w:rsidRPr="007756AD" w:rsidRDefault="00A37080" w:rsidP="0074345A">
    <w:pPr>
      <w:pStyle w:val="Nagwek"/>
      <w:jc w:val="center"/>
    </w:pPr>
    <w:r>
      <w:rPr>
        <w:rFonts w:eastAsia="Times New Roman" w:cs="Times New Roman"/>
        <w:b/>
        <w:kern w:val="0"/>
        <w:sz w:val="28"/>
        <w:szCs w:val="28"/>
        <w:lang w:eastAsia="pl-PL"/>
        <w14:ligatures w14:val="none"/>
      </w:rPr>
      <w:t xml:space="preserve">Przedsięwzięcie </w:t>
    </w:r>
    <w:r w:rsidR="0074345A" w:rsidRPr="0074345A">
      <w:rPr>
        <w:rFonts w:eastAsia="Times New Roman" w:cs="Times New Roman"/>
        <w:b/>
        <w:kern w:val="0"/>
        <w:sz w:val="28"/>
        <w:szCs w:val="28"/>
        <w:lang w:eastAsia="pl-PL"/>
        <w14:ligatures w14:val="none"/>
      </w:rPr>
      <w:t>2.7 Wspieranie działań na rzecz ożywienia przestrzeni publicznej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B7AA5"/>
    <w:multiLevelType w:val="hybridMultilevel"/>
    <w:tmpl w:val="EB0CE0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9D3081"/>
    <w:multiLevelType w:val="hybridMultilevel"/>
    <w:tmpl w:val="F06624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460984"/>
    <w:multiLevelType w:val="hybridMultilevel"/>
    <w:tmpl w:val="6292DE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21319C"/>
    <w:multiLevelType w:val="hybridMultilevel"/>
    <w:tmpl w:val="F868681C"/>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CD507A"/>
    <w:multiLevelType w:val="hybridMultilevel"/>
    <w:tmpl w:val="80B05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452015"/>
    <w:multiLevelType w:val="hybridMultilevel"/>
    <w:tmpl w:val="FC5CE0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401AF7"/>
    <w:multiLevelType w:val="hybridMultilevel"/>
    <w:tmpl w:val="382A05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250056"/>
    <w:multiLevelType w:val="hybridMultilevel"/>
    <w:tmpl w:val="165E57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542092C"/>
    <w:multiLevelType w:val="hybridMultilevel"/>
    <w:tmpl w:val="B80421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DE1CC6"/>
    <w:multiLevelType w:val="hybridMultilevel"/>
    <w:tmpl w:val="0DCA7A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93D52F7"/>
    <w:multiLevelType w:val="hybridMultilevel"/>
    <w:tmpl w:val="28DA8C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135291"/>
    <w:multiLevelType w:val="hybridMultilevel"/>
    <w:tmpl w:val="ADD676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3CA1B7B"/>
    <w:multiLevelType w:val="hybridMultilevel"/>
    <w:tmpl w:val="EC1C7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F5155AC"/>
    <w:multiLevelType w:val="hybridMultilevel"/>
    <w:tmpl w:val="CA406D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01F2757"/>
    <w:multiLevelType w:val="hybridMultilevel"/>
    <w:tmpl w:val="D06E9F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32A734C"/>
    <w:multiLevelType w:val="hybridMultilevel"/>
    <w:tmpl w:val="FA6CAE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B663B64"/>
    <w:multiLevelType w:val="hybridMultilevel"/>
    <w:tmpl w:val="34C825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B972D50"/>
    <w:multiLevelType w:val="hybridMultilevel"/>
    <w:tmpl w:val="402E6E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56A1484"/>
    <w:multiLevelType w:val="hybridMultilevel"/>
    <w:tmpl w:val="FABE07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82B33EE"/>
    <w:multiLevelType w:val="hybridMultilevel"/>
    <w:tmpl w:val="CE0298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B171571"/>
    <w:multiLevelType w:val="hybridMultilevel"/>
    <w:tmpl w:val="A372E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18D00F0"/>
    <w:multiLevelType w:val="hybridMultilevel"/>
    <w:tmpl w:val="0C545D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2A91AEC"/>
    <w:multiLevelType w:val="hybridMultilevel"/>
    <w:tmpl w:val="EF1ED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83016613">
    <w:abstractNumId w:val="16"/>
  </w:num>
  <w:num w:numId="2" w16cid:durableId="747338172">
    <w:abstractNumId w:val="20"/>
  </w:num>
  <w:num w:numId="3" w16cid:durableId="87892576">
    <w:abstractNumId w:val="1"/>
  </w:num>
  <w:num w:numId="4" w16cid:durableId="233443082">
    <w:abstractNumId w:val="8"/>
  </w:num>
  <w:num w:numId="5" w16cid:durableId="984627261">
    <w:abstractNumId w:val="12"/>
  </w:num>
  <w:num w:numId="6" w16cid:durableId="2140606631">
    <w:abstractNumId w:val="5"/>
  </w:num>
  <w:num w:numId="7" w16cid:durableId="1590305710">
    <w:abstractNumId w:val="22"/>
  </w:num>
  <w:num w:numId="8" w16cid:durableId="799882989">
    <w:abstractNumId w:val="15"/>
  </w:num>
  <w:num w:numId="9" w16cid:durableId="1083842336">
    <w:abstractNumId w:val="18"/>
  </w:num>
  <w:num w:numId="10" w16cid:durableId="1745226404">
    <w:abstractNumId w:val="19"/>
  </w:num>
  <w:num w:numId="11" w16cid:durableId="1855536536">
    <w:abstractNumId w:val="14"/>
  </w:num>
  <w:num w:numId="12" w16cid:durableId="1306622662">
    <w:abstractNumId w:val="17"/>
  </w:num>
  <w:num w:numId="13" w16cid:durableId="906842377">
    <w:abstractNumId w:val="4"/>
  </w:num>
  <w:num w:numId="14" w16cid:durableId="579485118">
    <w:abstractNumId w:val="0"/>
  </w:num>
  <w:num w:numId="15" w16cid:durableId="1362053962">
    <w:abstractNumId w:val="10"/>
  </w:num>
  <w:num w:numId="16" w16cid:durableId="900100737">
    <w:abstractNumId w:val="6"/>
  </w:num>
  <w:num w:numId="17" w16cid:durableId="1894658701">
    <w:abstractNumId w:val="3"/>
  </w:num>
  <w:num w:numId="18" w16cid:durableId="457845443">
    <w:abstractNumId w:val="9"/>
  </w:num>
  <w:num w:numId="19" w16cid:durableId="1677147656">
    <w:abstractNumId w:val="2"/>
  </w:num>
  <w:num w:numId="20" w16cid:durableId="332490920">
    <w:abstractNumId w:val="11"/>
  </w:num>
  <w:num w:numId="21" w16cid:durableId="1393577205">
    <w:abstractNumId w:val="7"/>
  </w:num>
  <w:num w:numId="22" w16cid:durableId="808788691">
    <w:abstractNumId w:val="13"/>
  </w:num>
  <w:num w:numId="23" w16cid:durableId="83067968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876"/>
    <w:rsid w:val="000531BC"/>
    <w:rsid w:val="0008176C"/>
    <w:rsid w:val="000A6450"/>
    <w:rsid w:val="000E0073"/>
    <w:rsid w:val="000E586F"/>
    <w:rsid w:val="000F3120"/>
    <w:rsid w:val="00131D00"/>
    <w:rsid w:val="00191313"/>
    <w:rsid w:val="001A1A34"/>
    <w:rsid w:val="001A52F3"/>
    <w:rsid w:val="001B60DD"/>
    <w:rsid w:val="001D1FAB"/>
    <w:rsid w:val="0020463C"/>
    <w:rsid w:val="00211E2F"/>
    <w:rsid w:val="00215FA0"/>
    <w:rsid w:val="0028662C"/>
    <w:rsid w:val="002A0733"/>
    <w:rsid w:val="00352D4B"/>
    <w:rsid w:val="00367DD5"/>
    <w:rsid w:val="003974F5"/>
    <w:rsid w:val="003A7DF9"/>
    <w:rsid w:val="003D07AF"/>
    <w:rsid w:val="003D5ED0"/>
    <w:rsid w:val="003E4970"/>
    <w:rsid w:val="0044536F"/>
    <w:rsid w:val="00462742"/>
    <w:rsid w:val="00494E72"/>
    <w:rsid w:val="004C6302"/>
    <w:rsid w:val="004E4939"/>
    <w:rsid w:val="0052141E"/>
    <w:rsid w:val="0053095C"/>
    <w:rsid w:val="00560C70"/>
    <w:rsid w:val="005A4437"/>
    <w:rsid w:val="005B1DA0"/>
    <w:rsid w:val="0060447D"/>
    <w:rsid w:val="006249DA"/>
    <w:rsid w:val="00646FBB"/>
    <w:rsid w:val="0068609D"/>
    <w:rsid w:val="006A1EDF"/>
    <w:rsid w:val="006D2C6C"/>
    <w:rsid w:val="0074345A"/>
    <w:rsid w:val="007636B3"/>
    <w:rsid w:val="007668E4"/>
    <w:rsid w:val="007756AD"/>
    <w:rsid w:val="00775A66"/>
    <w:rsid w:val="007C20B3"/>
    <w:rsid w:val="007D69F8"/>
    <w:rsid w:val="00817490"/>
    <w:rsid w:val="0082359B"/>
    <w:rsid w:val="00840F41"/>
    <w:rsid w:val="00892760"/>
    <w:rsid w:val="008B53F8"/>
    <w:rsid w:val="008C38AA"/>
    <w:rsid w:val="00904456"/>
    <w:rsid w:val="00913091"/>
    <w:rsid w:val="00916ABB"/>
    <w:rsid w:val="00920F8E"/>
    <w:rsid w:val="00932DFB"/>
    <w:rsid w:val="00937899"/>
    <w:rsid w:val="00953069"/>
    <w:rsid w:val="009B12C6"/>
    <w:rsid w:val="009B264F"/>
    <w:rsid w:val="009C0467"/>
    <w:rsid w:val="00A12282"/>
    <w:rsid w:val="00A37080"/>
    <w:rsid w:val="00A60CF4"/>
    <w:rsid w:val="00A805BB"/>
    <w:rsid w:val="00A952E1"/>
    <w:rsid w:val="00AA4B7C"/>
    <w:rsid w:val="00AC6B97"/>
    <w:rsid w:val="00AE0110"/>
    <w:rsid w:val="00AE03D0"/>
    <w:rsid w:val="00B35354"/>
    <w:rsid w:val="00B544F7"/>
    <w:rsid w:val="00B57A10"/>
    <w:rsid w:val="00BB1154"/>
    <w:rsid w:val="00BE6876"/>
    <w:rsid w:val="00C2476B"/>
    <w:rsid w:val="00CB1BB7"/>
    <w:rsid w:val="00CC51AA"/>
    <w:rsid w:val="00CF0880"/>
    <w:rsid w:val="00D15551"/>
    <w:rsid w:val="00D461F5"/>
    <w:rsid w:val="00D91805"/>
    <w:rsid w:val="00D96C8B"/>
    <w:rsid w:val="00DE01B6"/>
    <w:rsid w:val="00EA4134"/>
    <w:rsid w:val="00EE2BFC"/>
    <w:rsid w:val="00F46A90"/>
    <w:rsid w:val="00FA7F10"/>
    <w:rsid w:val="00FC5C71"/>
    <w:rsid w:val="00FD5E2F"/>
    <w:rsid w:val="00FF51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68B55"/>
  <w15:chartTrackingRefBased/>
  <w15:docId w15:val="{C1ED9373-6541-4963-9164-0237CBEC9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345A"/>
    <w:pPr>
      <w:spacing w:before="120" w:after="280" w:line="240"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E6876"/>
    <w:pPr>
      <w:tabs>
        <w:tab w:val="center" w:pos="4536"/>
        <w:tab w:val="right" w:pos="9072"/>
      </w:tabs>
      <w:spacing w:after="0"/>
    </w:pPr>
  </w:style>
  <w:style w:type="character" w:customStyle="1" w:styleId="NagwekZnak">
    <w:name w:val="Nagłówek Znak"/>
    <w:basedOn w:val="Domylnaczcionkaakapitu"/>
    <w:link w:val="Nagwek"/>
    <w:uiPriority w:val="99"/>
    <w:rsid w:val="00BE6876"/>
  </w:style>
  <w:style w:type="paragraph" w:styleId="Stopka">
    <w:name w:val="footer"/>
    <w:basedOn w:val="Normalny"/>
    <w:link w:val="StopkaZnak"/>
    <w:uiPriority w:val="99"/>
    <w:unhideWhenUsed/>
    <w:rsid w:val="00BE6876"/>
    <w:pPr>
      <w:tabs>
        <w:tab w:val="center" w:pos="4536"/>
        <w:tab w:val="right" w:pos="9072"/>
      </w:tabs>
      <w:spacing w:after="0"/>
    </w:pPr>
  </w:style>
  <w:style w:type="character" w:customStyle="1" w:styleId="StopkaZnak">
    <w:name w:val="Stopka Znak"/>
    <w:basedOn w:val="Domylnaczcionkaakapitu"/>
    <w:link w:val="Stopka"/>
    <w:uiPriority w:val="99"/>
    <w:rsid w:val="00BE6876"/>
  </w:style>
  <w:style w:type="table" w:styleId="Tabela-Siatka">
    <w:name w:val="Table Grid"/>
    <w:basedOn w:val="Standardowy"/>
    <w:uiPriority w:val="39"/>
    <w:rsid w:val="00BE6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8176C"/>
    <w:pPr>
      <w:ind w:left="720"/>
      <w:contextualSpacing/>
    </w:pPr>
  </w:style>
  <w:style w:type="paragraph" w:customStyle="1" w:styleId="Default">
    <w:name w:val="Default"/>
    <w:rsid w:val="0074345A"/>
    <w:pPr>
      <w:autoSpaceDE w:val="0"/>
      <w:autoSpaceDN w:val="0"/>
      <w:adjustRightInd w:val="0"/>
      <w:spacing w:after="0" w:line="240" w:lineRule="auto"/>
    </w:pPr>
    <w:rPr>
      <w:rFonts w:ascii="Calibri" w:eastAsia="Times New Roman" w:hAnsi="Calibri" w:cs="Calibri"/>
      <w:color w:val="000000"/>
      <w:kern w:val="0"/>
      <w:sz w:val="24"/>
      <w:szCs w:val="24"/>
      <w14:ligatures w14:val="none"/>
    </w:rPr>
  </w:style>
  <w:style w:type="paragraph" w:customStyle="1" w:styleId="TableParagraph">
    <w:name w:val="Table Paragraph"/>
    <w:basedOn w:val="Normalny"/>
    <w:uiPriority w:val="1"/>
    <w:qFormat/>
    <w:rsid w:val="00B544F7"/>
    <w:pPr>
      <w:widowControl w:val="0"/>
      <w:autoSpaceDE w:val="0"/>
      <w:autoSpaceDN w:val="0"/>
      <w:spacing w:before="0" w:after="0"/>
    </w:pPr>
    <w:rPr>
      <w:rFonts w:eastAsia="Times New Roman"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1170</Words>
  <Characters>7025</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Fabiniak</dc:creator>
  <cp:keywords/>
  <dc:description/>
  <cp:lastModifiedBy>Magda Fabiniak</cp:lastModifiedBy>
  <cp:revision>2</cp:revision>
  <cp:lastPrinted>2024-07-17T10:13:00Z</cp:lastPrinted>
  <dcterms:created xsi:type="dcterms:W3CDTF">2024-10-14T12:09:00Z</dcterms:created>
  <dcterms:modified xsi:type="dcterms:W3CDTF">2024-10-14T12:09:00Z</dcterms:modified>
</cp:coreProperties>
</file>